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8BC" w:rsidRPr="006753A9" w:rsidRDefault="00FA5DCE">
      <w:pPr>
        <w:tabs>
          <w:tab w:val="center" w:pos="4798"/>
          <w:tab w:val="center" w:pos="8692"/>
        </w:tabs>
        <w:spacing w:after="0" w:line="259" w:lineRule="auto"/>
        <w:ind w:left="0" w:right="0" w:firstLine="0"/>
        <w:jc w:val="left"/>
      </w:pPr>
      <w:r w:rsidRPr="006753A9">
        <w:rPr>
          <w:rFonts w:eastAsia="Calibri"/>
        </w:rPr>
        <w:tab/>
      </w:r>
      <w:r w:rsidRPr="006753A9">
        <w:rPr>
          <w:b/>
          <w:i/>
        </w:rPr>
        <w:t xml:space="preserve"> </w:t>
      </w:r>
      <w:r w:rsidRPr="006753A9">
        <w:rPr>
          <w:b/>
          <w:i/>
        </w:rPr>
        <w:tab/>
      </w:r>
    </w:p>
    <w:p w:rsidR="001278BC" w:rsidRPr="006753A9" w:rsidRDefault="00FA5DCE">
      <w:pPr>
        <w:spacing w:after="0" w:line="259" w:lineRule="auto"/>
        <w:ind w:left="62" w:right="0" w:firstLine="0"/>
        <w:jc w:val="center"/>
      </w:pPr>
      <w:r w:rsidRPr="006753A9">
        <w:rPr>
          <w:b/>
          <w:i/>
        </w:rPr>
        <w:t xml:space="preserve"> </w:t>
      </w:r>
    </w:p>
    <w:p w:rsidR="001278BC" w:rsidRPr="006753A9" w:rsidRDefault="00FA5DCE">
      <w:pPr>
        <w:pBdr>
          <w:left w:val="single" w:sz="4" w:space="0" w:color="FFFFFF"/>
          <w:bottom w:val="single" w:sz="4" w:space="0" w:color="FFFFFF"/>
          <w:right w:val="single" w:sz="4" w:space="0" w:color="FFFFFF"/>
        </w:pBdr>
        <w:shd w:val="clear" w:color="auto" w:fill="C0C0C0"/>
        <w:spacing w:after="7" w:line="259" w:lineRule="auto"/>
        <w:ind w:left="0" w:right="6" w:firstLine="0"/>
        <w:jc w:val="center"/>
      </w:pPr>
      <w:r w:rsidRPr="006753A9">
        <w:rPr>
          <w:b/>
          <w:i/>
        </w:rPr>
        <w:t xml:space="preserve">MARCHÉ PUBLIC DE PRESTATIONS INTELLECTUELLES </w:t>
      </w:r>
    </w:p>
    <w:p w:rsidR="001278BC" w:rsidRPr="006753A9" w:rsidRDefault="00FA5DCE">
      <w:pPr>
        <w:spacing w:after="0" w:line="259" w:lineRule="auto"/>
        <w:ind w:left="62" w:right="0" w:firstLine="0"/>
        <w:jc w:val="center"/>
      </w:pPr>
      <w:r w:rsidRPr="006753A9">
        <w:t xml:space="preserve"> </w:t>
      </w:r>
    </w:p>
    <w:p w:rsidR="001278BC" w:rsidRPr="006753A9" w:rsidRDefault="00FA5DCE">
      <w:pPr>
        <w:spacing w:after="0" w:line="259" w:lineRule="auto"/>
        <w:ind w:left="62" w:right="0" w:firstLine="0"/>
        <w:jc w:val="center"/>
      </w:pP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16" w:line="259" w:lineRule="auto"/>
        <w:ind w:left="62" w:right="0" w:firstLine="0"/>
        <w:jc w:val="center"/>
      </w:pPr>
      <w:r w:rsidRPr="006753A9">
        <w:t xml:space="preserve"> </w:t>
      </w:r>
    </w:p>
    <w:p w:rsidR="001278BC" w:rsidRPr="006753A9" w:rsidRDefault="00FA5DCE">
      <w:pPr>
        <w:spacing w:after="246" w:line="259" w:lineRule="auto"/>
        <w:jc w:val="center"/>
      </w:pPr>
      <w:r w:rsidRPr="006753A9">
        <w:t xml:space="preserve">REGLEMENT DE LA CONSULTATION COMMUN  </w:t>
      </w:r>
    </w:p>
    <w:p w:rsidR="001278BC" w:rsidRPr="006753A9" w:rsidRDefault="00FA5DCE">
      <w:pPr>
        <w:spacing w:after="0" w:line="259" w:lineRule="auto"/>
        <w:ind w:right="4"/>
        <w:jc w:val="center"/>
      </w:pPr>
      <w:r w:rsidRPr="006753A9">
        <w:t xml:space="preserve">AUX MAITRES D’OUVRAGE DES TRAVAUX CONNEXES </w:t>
      </w:r>
      <w:r w:rsidR="007F79F5" w:rsidRPr="006753A9">
        <w:t>SUR LE PERIMETRE PERTURBE ET LE PERIMETRE COMPLEMENTAIRE</w:t>
      </w:r>
    </w:p>
    <w:p w:rsidR="001278BC" w:rsidRPr="006753A9" w:rsidRDefault="00FA5DCE" w:rsidP="007F79F5">
      <w:pPr>
        <w:spacing w:after="0" w:line="259" w:lineRule="auto"/>
        <w:ind w:left="74" w:right="0" w:firstLine="0"/>
        <w:jc w:val="center"/>
      </w:pPr>
      <w:r w:rsidRPr="006753A9">
        <w:t xml:space="preserve"> </w:t>
      </w:r>
    </w:p>
    <w:p w:rsidR="001278BC" w:rsidRPr="006753A9" w:rsidRDefault="00FA5DCE">
      <w:pPr>
        <w:spacing w:after="0" w:line="259" w:lineRule="auto"/>
        <w:ind w:left="62" w:right="0" w:firstLine="0"/>
        <w:jc w:val="center"/>
      </w:pPr>
      <w:r w:rsidRPr="006753A9">
        <w:t xml:space="preserve"> </w:t>
      </w:r>
    </w:p>
    <w:tbl>
      <w:tblPr>
        <w:tblStyle w:val="TableGrid"/>
        <w:tblW w:w="9840" w:type="dxa"/>
        <w:tblInd w:w="-122" w:type="dxa"/>
        <w:tblCellMar>
          <w:top w:w="4" w:type="dxa"/>
          <w:left w:w="115" w:type="dxa"/>
          <w:bottom w:w="3" w:type="dxa"/>
          <w:right w:w="93" w:type="dxa"/>
        </w:tblCellMar>
        <w:tblLook w:val="04A0" w:firstRow="1" w:lastRow="0" w:firstColumn="1" w:lastColumn="0" w:noHBand="0" w:noVBand="1"/>
      </w:tblPr>
      <w:tblGrid>
        <w:gridCol w:w="9840"/>
      </w:tblGrid>
      <w:tr w:rsidR="001278BC" w:rsidRPr="006753A9">
        <w:trPr>
          <w:trHeight w:val="1180"/>
        </w:trPr>
        <w:tc>
          <w:tcPr>
            <w:tcW w:w="9840" w:type="dxa"/>
            <w:tcBorders>
              <w:top w:val="double" w:sz="4" w:space="0" w:color="000000"/>
              <w:left w:val="double" w:sz="4" w:space="0" w:color="000000"/>
              <w:bottom w:val="nil"/>
              <w:right w:val="double" w:sz="4" w:space="0" w:color="000000"/>
            </w:tcBorders>
            <w:shd w:val="clear" w:color="auto" w:fill="C0C0C0"/>
            <w:vAlign w:val="bottom"/>
          </w:tcPr>
          <w:p w:rsidR="001278BC" w:rsidRPr="006753A9" w:rsidRDefault="00FA5DCE">
            <w:pPr>
              <w:spacing w:after="0" w:line="259" w:lineRule="auto"/>
              <w:ind w:left="0" w:right="25" w:firstLine="0"/>
              <w:jc w:val="center"/>
            </w:pPr>
            <w:r w:rsidRPr="006753A9">
              <w:t xml:space="preserve">GROUPEMENT DE COMMANDES DES COMMUNES  </w:t>
            </w:r>
          </w:p>
          <w:p w:rsidR="001278BC" w:rsidRPr="006753A9" w:rsidRDefault="00FA5DCE">
            <w:pPr>
              <w:spacing w:after="0" w:line="259" w:lineRule="auto"/>
              <w:ind w:left="0" w:right="24" w:firstLine="0"/>
              <w:jc w:val="center"/>
            </w:pPr>
            <w:r w:rsidRPr="006753A9">
              <w:t xml:space="preserve">DE </w:t>
            </w:r>
            <w:r w:rsidR="00AD6D6C" w:rsidRPr="006753A9">
              <w:rPr>
                <w:b/>
              </w:rPr>
              <w:t>CADEROUSSE, MORNAS, ORANGE et PIOLENC</w:t>
            </w:r>
            <w:r w:rsidR="007F79F5" w:rsidRPr="006753A9">
              <w:rPr>
                <w:b/>
              </w:rPr>
              <w:t xml:space="preserve"> et l’AFAFAF</w:t>
            </w:r>
          </w:p>
          <w:p w:rsidR="001278BC" w:rsidRPr="006753A9" w:rsidRDefault="00FA5DCE">
            <w:pPr>
              <w:spacing w:after="0" w:line="259" w:lineRule="auto"/>
              <w:ind w:left="56" w:right="0" w:firstLine="0"/>
              <w:jc w:val="center"/>
            </w:pPr>
            <w:r w:rsidRPr="006753A9">
              <w:t xml:space="preserve"> </w:t>
            </w:r>
          </w:p>
        </w:tc>
      </w:tr>
      <w:tr w:rsidR="001278BC" w:rsidRPr="006753A9">
        <w:trPr>
          <w:trHeight w:val="2386"/>
        </w:trPr>
        <w:tc>
          <w:tcPr>
            <w:tcW w:w="9840" w:type="dxa"/>
            <w:tcBorders>
              <w:top w:val="nil"/>
              <w:left w:val="double" w:sz="4" w:space="0" w:color="000000"/>
              <w:bottom w:val="double" w:sz="4" w:space="0" w:color="000000"/>
              <w:right w:val="double" w:sz="4" w:space="0" w:color="000000"/>
            </w:tcBorders>
          </w:tcPr>
          <w:p w:rsidR="001278BC" w:rsidRPr="006753A9" w:rsidRDefault="00FA5DCE">
            <w:pPr>
              <w:spacing w:after="0" w:line="259" w:lineRule="auto"/>
              <w:ind w:left="44" w:right="0" w:firstLine="0"/>
              <w:jc w:val="center"/>
            </w:pPr>
            <w:r w:rsidRPr="006753A9">
              <w:t xml:space="preserve"> </w:t>
            </w:r>
          </w:p>
          <w:p w:rsidR="001278BC" w:rsidRPr="006753A9" w:rsidRDefault="00FA5DCE">
            <w:pPr>
              <w:spacing w:after="0" w:line="259" w:lineRule="auto"/>
              <w:ind w:left="0" w:right="23" w:firstLine="0"/>
              <w:jc w:val="center"/>
            </w:pPr>
            <w:r w:rsidRPr="006753A9">
              <w:t xml:space="preserve">Mairie de </w:t>
            </w:r>
            <w:r w:rsidR="00AD6D6C" w:rsidRPr="006753A9">
              <w:t>PIOLENC</w:t>
            </w:r>
          </w:p>
          <w:p w:rsidR="001278BC" w:rsidRPr="006753A9" w:rsidRDefault="00FA5DCE">
            <w:pPr>
              <w:spacing w:after="0" w:line="240" w:lineRule="auto"/>
              <w:ind w:left="0" w:right="0" w:firstLine="0"/>
              <w:jc w:val="center"/>
            </w:pPr>
            <w:r w:rsidRPr="006753A9">
              <w:t xml:space="preserve">Coordinatrice du groupement de commandes chargé de l'accomplissement des formalités procédurales nécessaires au lancement de la procédure de passation </w:t>
            </w:r>
          </w:p>
          <w:p w:rsidR="001278BC" w:rsidRPr="006753A9" w:rsidRDefault="00FA5DCE">
            <w:pPr>
              <w:spacing w:after="0" w:line="259" w:lineRule="auto"/>
              <w:ind w:left="44" w:right="0" w:firstLine="0"/>
              <w:jc w:val="center"/>
            </w:pPr>
            <w:r w:rsidRPr="006753A9">
              <w:t xml:space="preserve"> </w:t>
            </w:r>
          </w:p>
          <w:p w:rsidR="001278BC" w:rsidRPr="006753A9" w:rsidRDefault="00AD6D6C">
            <w:pPr>
              <w:spacing w:after="0" w:line="259" w:lineRule="auto"/>
              <w:ind w:left="0" w:right="24" w:firstLine="0"/>
              <w:jc w:val="center"/>
            </w:pPr>
            <w:r w:rsidRPr="006753A9">
              <w:t xml:space="preserve">6 Rue Jean MOULIN </w:t>
            </w:r>
          </w:p>
          <w:p w:rsidR="00AD6D6C" w:rsidRPr="006753A9" w:rsidRDefault="00AD6D6C">
            <w:pPr>
              <w:spacing w:after="0" w:line="259" w:lineRule="auto"/>
              <w:ind w:left="0" w:right="24" w:firstLine="0"/>
              <w:jc w:val="center"/>
            </w:pPr>
            <w:r w:rsidRPr="006753A9">
              <w:t>BP 1</w:t>
            </w:r>
          </w:p>
          <w:p w:rsidR="00AD6D6C" w:rsidRPr="006753A9" w:rsidRDefault="00AD6D6C">
            <w:pPr>
              <w:spacing w:after="0" w:line="259" w:lineRule="auto"/>
              <w:ind w:left="0" w:right="24" w:firstLine="0"/>
              <w:jc w:val="center"/>
            </w:pPr>
            <w:r w:rsidRPr="006753A9">
              <w:t>84 420 PIOLENC</w:t>
            </w:r>
          </w:p>
          <w:p w:rsidR="001278BC" w:rsidRPr="006753A9" w:rsidRDefault="001278BC">
            <w:pPr>
              <w:spacing w:after="0" w:line="259" w:lineRule="auto"/>
              <w:ind w:left="0" w:right="22" w:firstLine="0"/>
              <w:jc w:val="center"/>
            </w:pPr>
          </w:p>
          <w:p w:rsidR="001278BC" w:rsidRPr="006753A9" w:rsidRDefault="00FA5DCE">
            <w:pPr>
              <w:spacing w:after="0" w:line="259" w:lineRule="auto"/>
              <w:ind w:left="0" w:right="21" w:firstLine="0"/>
              <w:jc w:val="center"/>
            </w:pPr>
            <w:r w:rsidRPr="006753A9">
              <w:t>Tel : 0</w:t>
            </w:r>
            <w:r w:rsidR="00AD6D6C" w:rsidRPr="006753A9">
              <w:t>4 90 29 63 66</w:t>
            </w:r>
          </w:p>
        </w:tc>
      </w:tr>
    </w:tbl>
    <w:p w:rsidR="001278BC" w:rsidRPr="006753A9" w:rsidRDefault="00FA5DCE">
      <w:pPr>
        <w:spacing w:after="0" w:line="259" w:lineRule="auto"/>
        <w:ind w:left="62" w:right="0" w:firstLine="0"/>
        <w:jc w:val="center"/>
      </w:pPr>
      <w:r w:rsidRPr="006753A9">
        <w:t xml:space="preserve"> </w:t>
      </w:r>
    </w:p>
    <w:tbl>
      <w:tblPr>
        <w:tblStyle w:val="TableGrid"/>
        <w:tblW w:w="9840" w:type="dxa"/>
        <w:tblInd w:w="-122" w:type="dxa"/>
        <w:tblCellMar>
          <w:top w:w="78" w:type="dxa"/>
          <w:left w:w="297" w:type="dxa"/>
          <w:bottom w:w="16" w:type="dxa"/>
          <w:right w:w="115" w:type="dxa"/>
        </w:tblCellMar>
        <w:tblLook w:val="04A0" w:firstRow="1" w:lastRow="0" w:firstColumn="1" w:lastColumn="0" w:noHBand="0" w:noVBand="1"/>
      </w:tblPr>
      <w:tblGrid>
        <w:gridCol w:w="9840"/>
      </w:tblGrid>
      <w:tr w:rsidR="001278BC" w:rsidRPr="006753A9">
        <w:trPr>
          <w:trHeight w:val="582"/>
        </w:trPr>
        <w:tc>
          <w:tcPr>
            <w:tcW w:w="9840" w:type="dxa"/>
            <w:tcBorders>
              <w:top w:val="double" w:sz="4" w:space="0" w:color="000000"/>
              <w:left w:val="double" w:sz="4" w:space="0" w:color="000000"/>
              <w:bottom w:val="nil"/>
              <w:right w:val="double" w:sz="4" w:space="0" w:color="000000"/>
            </w:tcBorders>
            <w:shd w:val="clear" w:color="auto" w:fill="C0C0C0"/>
            <w:vAlign w:val="bottom"/>
          </w:tcPr>
          <w:p w:rsidR="001278BC" w:rsidRPr="006753A9" w:rsidRDefault="00FA5DCE">
            <w:pPr>
              <w:spacing w:after="0" w:line="259" w:lineRule="auto"/>
              <w:ind w:left="0" w:right="185" w:firstLine="0"/>
              <w:jc w:val="center"/>
            </w:pPr>
            <w:r w:rsidRPr="006753A9">
              <w:rPr>
                <w:b/>
              </w:rPr>
              <w:t xml:space="preserve">OBJET DU MARCHÉ </w:t>
            </w:r>
          </w:p>
        </w:tc>
      </w:tr>
      <w:tr w:rsidR="001278BC" w:rsidRPr="006753A9">
        <w:trPr>
          <w:trHeight w:val="2343"/>
        </w:trPr>
        <w:tc>
          <w:tcPr>
            <w:tcW w:w="9840" w:type="dxa"/>
            <w:tcBorders>
              <w:top w:val="nil"/>
              <w:left w:val="double" w:sz="4" w:space="0" w:color="000000"/>
              <w:bottom w:val="double" w:sz="4" w:space="0" w:color="000000"/>
              <w:right w:val="double" w:sz="4" w:space="0" w:color="000000"/>
            </w:tcBorders>
          </w:tcPr>
          <w:p w:rsidR="001278BC" w:rsidRPr="006753A9" w:rsidRDefault="00FA5DCE">
            <w:pPr>
              <w:spacing w:after="39" w:line="259" w:lineRule="auto"/>
              <w:ind w:left="0" w:right="181" w:firstLine="0"/>
              <w:jc w:val="center"/>
            </w:pPr>
            <w:r w:rsidRPr="006753A9">
              <w:rPr>
                <w:b/>
              </w:rPr>
              <w:t xml:space="preserve">MARCHE DE MAITRISE D’ŒUVRE POUR LES TRAVAUX CONNEXES A </w:t>
            </w:r>
          </w:p>
          <w:p w:rsidR="001278BC" w:rsidRPr="006753A9" w:rsidRDefault="00FA5DCE" w:rsidP="007F79F5">
            <w:pPr>
              <w:spacing w:after="39" w:line="259" w:lineRule="auto"/>
              <w:ind w:left="0" w:right="0" w:firstLine="0"/>
              <w:jc w:val="left"/>
            </w:pPr>
            <w:r w:rsidRPr="006753A9">
              <w:rPr>
                <w:b/>
              </w:rPr>
              <w:t xml:space="preserve">L’AMÉNAGEMENT FONCIER AGRICOLE ET FORESTIER LIÉ À LA LIGNE </w:t>
            </w:r>
            <w:r w:rsidR="007F79F5" w:rsidRPr="006753A9">
              <w:rPr>
                <w:b/>
              </w:rPr>
              <w:t xml:space="preserve">LGV MEDITERRANEE </w:t>
            </w:r>
            <w:r w:rsidRPr="006753A9">
              <w:rPr>
                <w:b/>
              </w:rPr>
              <w:t xml:space="preserve">SUR LES COMMUNES DE </w:t>
            </w:r>
            <w:r w:rsidR="00AD6D6C" w:rsidRPr="006753A9">
              <w:rPr>
                <w:b/>
              </w:rPr>
              <w:t>CADEROUSSE, MORNAS, ORANGE et PIOLENC</w:t>
            </w:r>
            <w:r w:rsidRPr="006753A9">
              <w:rPr>
                <w:b/>
              </w:rPr>
              <w:t xml:space="preserve"> </w:t>
            </w:r>
            <w:r w:rsidR="007F79F5" w:rsidRPr="006753A9">
              <w:rPr>
                <w:b/>
              </w:rPr>
              <w:t>et l’AFAFAF</w:t>
            </w:r>
          </w:p>
          <w:p w:rsidR="001278BC" w:rsidRPr="006753A9" w:rsidRDefault="00FA5DCE">
            <w:pPr>
              <w:spacing w:after="0" w:line="259" w:lineRule="auto"/>
              <w:ind w:left="0" w:right="115" w:firstLine="0"/>
              <w:jc w:val="center"/>
            </w:pPr>
            <w:r w:rsidRPr="006753A9">
              <w:t xml:space="preserve"> </w:t>
            </w:r>
          </w:p>
        </w:tc>
      </w:tr>
    </w:tbl>
    <w:p w:rsidR="001278BC" w:rsidRPr="006753A9" w:rsidRDefault="00FA5DCE">
      <w:pPr>
        <w:spacing w:after="208" w:line="259" w:lineRule="auto"/>
        <w:ind w:left="62" w:right="0" w:firstLine="0"/>
        <w:jc w:val="center"/>
      </w:pPr>
      <w:r w:rsidRPr="006753A9">
        <w:t xml:space="preserve"> </w:t>
      </w:r>
    </w:p>
    <w:p w:rsidR="001278BC" w:rsidRPr="006753A9" w:rsidRDefault="00FA5DCE">
      <w:pPr>
        <w:pBdr>
          <w:top w:val="single" w:sz="4" w:space="0" w:color="000000"/>
          <w:left w:val="single" w:sz="4" w:space="0" w:color="000000"/>
          <w:bottom w:val="single" w:sz="4" w:space="0" w:color="000000"/>
          <w:right w:val="single" w:sz="4" w:space="0" w:color="000000"/>
        </w:pBdr>
        <w:spacing w:after="0" w:line="259" w:lineRule="auto"/>
        <w:ind w:left="0" w:right="2" w:firstLine="0"/>
        <w:jc w:val="center"/>
      </w:pPr>
      <w:r w:rsidRPr="006753A9">
        <w:rPr>
          <w:b/>
        </w:rPr>
        <w:t xml:space="preserve">Date et heures limites de remise des offres : </w:t>
      </w:r>
    </w:p>
    <w:p w:rsidR="001278BC" w:rsidRPr="006753A9" w:rsidRDefault="00FA5DCE">
      <w:pPr>
        <w:pBdr>
          <w:top w:val="single" w:sz="4" w:space="0" w:color="000000"/>
          <w:left w:val="single" w:sz="4" w:space="0" w:color="000000"/>
          <w:bottom w:val="single" w:sz="4" w:space="0" w:color="000000"/>
          <w:right w:val="single" w:sz="4" w:space="0" w:color="000000"/>
        </w:pBdr>
        <w:spacing w:after="0" w:line="259" w:lineRule="auto"/>
        <w:ind w:left="0" w:right="2" w:firstLine="0"/>
        <w:jc w:val="center"/>
      </w:pPr>
      <w:r w:rsidRPr="006753A9">
        <w:rPr>
          <w:b/>
        </w:rPr>
        <w:t xml:space="preserve"> </w:t>
      </w:r>
    </w:p>
    <w:p w:rsidR="001278BC" w:rsidRPr="006753A9" w:rsidRDefault="00FA5DCE">
      <w:pPr>
        <w:pBdr>
          <w:top w:val="single" w:sz="4" w:space="0" w:color="000000"/>
          <w:left w:val="single" w:sz="4" w:space="0" w:color="000000"/>
          <w:bottom w:val="single" w:sz="4" w:space="0" w:color="000000"/>
          <w:right w:val="single" w:sz="4" w:space="0" w:color="000000"/>
        </w:pBdr>
        <w:spacing w:after="163" w:line="259" w:lineRule="auto"/>
        <w:ind w:left="0" w:right="2" w:firstLine="0"/>
        <w:jc w:val="center"/>
      </w:pPr>
      <w:r w:rsidRPr="006753A9">
        <w:rPr>
          <w:b/>
          <w:color w:val="FF0000"/>
        </w:rPr>
        <w:t xml:space="preserve">Le </w:t>
      </w:r>
      <w:r w:rsidR="00AD6D6C" w:rsidRPr="006753A9">
        <w:rPr>
          <w:b/>
          <w:color w:val="FF0000"/>
        </w:rPr>
        <w:t>MERCREDI 6 JUIN 2018 à 17 heures</w:t>
      </w:r>
    </w:p>
    <w:p w:rsidR="001278BC" w:rsidRPr="006753A9" w:rsidRDefault="00FA5DCE">
      <w:pPr>
        <w:spacing w:after="0" w:line="259" w:lineRule="auto"/>
        <w:ind w:left="62" w:right="0" w:firstLine="0"/>
        <w:jc w:val="center"/>
      </w:pP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0" w:line="241" w:lineRule="auto"/>
        <w:ind w:left="0" w:right="0" w:firstLine="0"/>
        <w:jc w:val="left"/>
        <w:rPr>
          <w:i/>
        </w:rPr>
      </w:pPr>
      <w:r w:rsidRPr="006753A9">
        <w:rPr>
          <w:i/>
        </w:rPr>
        <w:t>Le présent Règlement de la Consultation comprend 1</w:t>
      </w:r>
      <w:r w:rsidR="005B020E">
        <w:rPr>
          <w:i/>
        </w:rPr>
        <w:t>4</w:t>
      </w:r>
      <w:r w:rsidRPr="006753A9">
        <w:rPr>
          <w:i/>
        </w:rPr>
        <w:t xml:space="preserve"> pages, la première page étant la page de couverture. </w:t>
      </w:r>
    </w:p>
    <w:p w:rsidR="00096557" w:rsidRPr="006753A9" w:rsidRDefault="00096557">
      <w:pPr>
        <w:spacing w:after="0" w:line="241" w:lineRule="auto"/>
        <w:ind w:left="0" w:right="0" w:firstLine="0"/>
        <w:jc w:val="left"/>
      </w:pPr>
    </w:p>
    <w:p w:rsidR="001278BC" w:rsidRPr="006753A9" w:rsidRDefault="00FA5DCE">
      <w:pPr>
        <w:pStyle w:val="Titre1"/>
        <w:ind w:left="-5"/>
        <w:rPr>
          <w:sz w:val="22"/>
        </w:rPr>
      </w:pPr>
      <w:r w:rsidRPr="006753A9">
        <w:rPr>
          <w:sz w:val="22"/>
        </w:rPr>
        <w:lastRenderedPageBreak/>
        <w:t xml:space="preserve">Article 1 : Objet du marché </w:t>
      </w: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2"/>
        <w:ind w:left="-5"/>
        <w:rPr>
          <w:sz w:val="22"/>
        </w:rPr>
      </w:pPr>
      <w:r w:rsidRPr="006753A9">
        <w:rPr>
          <w:sz w:val="22"/>
        </w:rPr>
        <w:t>Article 1-1 Objet du marché et dispositions générales</w:t>
      </w:r>
      <w:r w:rsidRPr="006753A9">
        <w:rPr>
          <w:sz w:val="22"/>
          <w:u w:val="none"/>
        </w:rPr>
        <w:t xml:space="preserve"> </w:t>
      </w:r>
    </w:p>
    <w:p w:rsidR="001278BC" w:rsidRPr="006753A9" w:rsidRDefault="00FA5DCE">
      <w:pPr>
        <w:spacing w:after="1" w:line="259" w:lineRule="auto"/>
        <w:ind w:left="0" w:right="0" w:firstLine="0"/>
        <w:jc w:val="left"/>
      </w:pPr>
      <w:r w:rsidRPr="006753A9">
        <w:t xml:space="preserve"> </w:t>
      </w:r>
    </w:p>
    <w:p w:rsidR="001278BC" w:rsidRPr="006753A9" w:rsidRDefault="00FA5DCE">
      <w:pPr>
        <w:spacing w:after="225"/>
        <w:ind w:left="-5" w:right="0"/>
      </w:pPr>
      <w:r w:rsidRPr="006753A9">
        <w:t xml:space="preserve">La consultation concerne la réalisation d’un marché de maîtrise d’œuvre pour les travaux connexes à l’aménagement foncier, agricole et forestier lié à la réalisation de la </w:t>
      </w:r>
      <w:r w:rsidR="00DB2AF3" w:rsidRPr="006753A9">
        <w:t>LGV Méditerranée</w:t>
      </w:r>
      <w:r w:rsidRPr="006753A9">
        <w:t xml:space="preserve"> sur les communes de </w:t>
      </w:r>
      <w:r w:rsidR="00096557" w:rsidRPr="006753A9">
        <w:t>Caderousse, Mornas, Orange et Piolenc</w:t>
      </w:r>
      <w:r w:rsidR="00DB2AF3" w:rsidRPr="006753A9">
        <w:t xml:space="preserve"> pour le périmètre dit perturbé et sur la Commune de Caderousse et l’AFFAFAF sur le périmètre dit complémentaire.</w:t>
      </w:r>
    </w:p>
    <w:p w:rsidR="001278BC" w:rsidRPr="006753A9" w:rsidRDefault="00FA5DCE" w:rsidP="00096557">
      <w:pPr>
        <w:ind w:left="-5" w:right="0"/>
      </w:pPr>
      <w:r w:rsidRPr="006753A9">
        <w:t>La part affectée aux travaux dans l’enveloppe financière de l’opération arrêtée par l’ensemble des maîtres d’ouvrage des travaux connexes est estimée à</w:t>
      </w:r>
      <w:r w:rsidR="007C0E4C" w:rsidRPr="006753A9">
        <w:t xml:space="preserve"> </w:t>
      </w:r>
      <w:r w:rsidR="004C1653" w:rsidRPr="006753A9">
        <w:rPr>
          <w:color w:val="auto"/>
        </w:rPr>
        <w:t xml:space="preserve">595 013.35 </w:t>
      </w:r>
      <w:r w:rsidRPr="006753A9">
        <w:t xml:space="preserve">Euros </w:t>
      </w:r>
      <w:r w:rsidR="00096557" w:rsidRPr="006753A9">
        <w:t>TTC</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Le dossier fourni est au stade </w:t>
      </w:r>
      <w:r w:rsidRPr="006753A9">
        <w:rPr>
          <w:u w:val="single" w:color="000000"/>
        </w:rPr>
        <w:t>Avant-Projet</w:t>
      </w:r>
      <w:r w:rsidRPr="006753A9">
        <w:t xml:space="preserve"> (AVP). </w:t>
      </w:r>
    </w:p>
    <w:p w:rsidR="001278BC" w:rsidRPr="006753A9" w:rsidRDefault="00FA5DCE">
      <w:pPr>
        <w:spacing w:after="0" w:line="259" w:lineRule="auto"/>
        <w:ind w:left="0" w:right="0" w:firstLine="0"/>
        <w:jc w:val="left"/>
      </w:pPr>
      <w:r w:rsidRPr="006753A9">
        <w:t xml:space="preserve"> </w:t>
      </w:r>
    </w:p>
    <w:p w:rsidR="004C1653" w:rsidRPr="006753A9" w:rsidRDefault="00FA5DCE" w:rsidP="004C1653">
      <w:pPr>
        <w:pStyle w:val="Titre2"/>
        <w:ind w:left="-5"/>
        <w:rPr>
          <w:color w:val="auto"/>
          <w:sz w:val="22"/>
        </w:rPr>
      </w:pPr>
      <w:r w:rsidRPr="006753A9">
        <w:rPr>
          <w:sz w:val="22"/>
        </w:rPr>
        <w:t xml:space="preserve">Article 1-2 </w:t>
      </w:r>
      <w:r w:rsidR="007C0E4C" w:rsidRPr="006753A9">
        <w:rPr>
          <w:color w:val="auto"/>
          <w:sz w:val="22"/>
        </w:rPr>
        <w:t>Décomposition de la consultation</w:t>
      </w:r>
      <w:r w:rsidRPr="006753A9">
        <w:rPr>
          <w:color w:val="auto"/>
          <w:sz w:val="22"/>
        </w:rPr>
        <w:t xml:space="preserve"> </w:t>
      </w:r>
    </w:p>
    <w:p w:rsidR="007C0E4C" w:rsidRPr="006753A9" w:rsidRDefault="00FA5DCE" w:rsidP="004C1653">
      <w:pPr>
        <w:pStyle w:val="Titre2"/>
        <w:ind w:left="-5"/>
        <w:rPr>
          <w:sz w:val="22"/>
        </w:rPr>
      </w:pPr>
      <w:r w:rsidRPr="006753A9">
        <w:rPr>
          <w:sz w:val="22"/>
        </w:rPr>
        <w:t xml:space="preserve"> </w:t>
      </w:r>
    </w:p>
    <w:p w:rsidR="007C0E4C" w:rsidRPr="006753A9" w:rsidRDefault="007C0E4C">
      <w:pPr>
        <w:spacing w:after="243" w:line="259" w:lineRule="auto"/>
        <w:ind w:left="0" w:right="0" w:firstLine="0"/>
        <w:jc w:val="left"/>
        <w:rPr>
          <w:color w:val="auto"/>
        </w:rPr>
      </w:pPr>
      <w:r w:rsidRPr="006753A9">
        <w:rPr>
          <w:color w:val="auto"/>
        </w:rPr>
        <w:t>Il n'est pas prévu de décomposition en tranches ou en lots.</w:t>
      </w:r>
    </w:p>
    <w:p w:rsidR="001278BC" w:rsidRPr="006753A9" w:rsidRDefault="00FA5DCE" w:rsidP="00096557">
      <w:pPr>
        <w:ind w:left="-15" w:right="0" w:firstLine="708"/>
      </w:pPr>
      <w:r w:rsidRPr="006753A9">
        <w:t xml:space="preserve">La consultation comprend </w:t>
      </w:r>
      <w:r w:rsidR="00096557" w:rsidRPr="006753A9">
        <w:t>les missions suivantes :</w:t>
      </w:r>
    </w:p>
    <w:p w:rsidR="00096557" w:rsidRPr="006753A9" w:rsidRDefault="00096557" w:rsidP="00096557">
      <w:pPr>
        <w:ind w:left="-15" w:right="0" w:firstLine="708"/>
      </w:pPr>
    </w:p>
    <w:p w:rsidR="001278BC" w:rsidRPr="006753A9" w:rsidRDefault="00FA5DCE" w:rsidP="007C0E4C">
      <w:pPr>
        <w:numPr>
          <w:ilvl w:val="0"/>
          <w:numId w:val="1"/>
        </w:numPr>
        <w:spacing w:after="0" w:line="259" w:lineRule="auto"/>
        <w:ind w:left="360" w:right="0" w:firstLine="0"/>
        <w:jc w:val="left"/>
      </w:pPr>
      <w:r w:rsidRPr="006753A9">
        <w:t>Étude de projet (PRO)</w:t>
      </w:r>
      <w:r w:rsidR="00096557" w:rsidRPr="006753A9">
        <w:t>,</w:t>
      </w:r>
      <w:r w:rsidRPr="006753A9">
        <w:t xml:space="preserve"> Assistance pour la passation du contrat de travaux (ACT)</w:t>
      </w:r>
      <w:r w:rsidR="00096557" w:rsidRPr="006753A9">
        <w:t>, R</w:t>
      </w:r>
      <w:r w:rsidRPr="006753A9">
        <w:t xml:space="preserve">éalisation du DCE et Analyse des offres, </w:t>
      </w:r>
      <w:r w:rsidR="007C0E4C" w:rsidRPr="006753A9">
        <w:t>m</w:t>
      </w:r>
      <w:r w:rsidRPr="006753A9">
        <w:t xml:space="preserve">ise au point des marchés, </w:t>
      </w:r>
    </w:p>
    <w:p w:rsidR="001278BC" w:rsidRPr="006753A9" w:rsidRDefault="00FA5DCE">
      <w:pPr>
        <w:spacing w:after="0" w:line="259" w:lineRule="auto"/>
        <w:ind w:left="360" w:right="0" w:firstLine="0"/>
        <w:jc w:val="left"/>
      </w:pPr>
      <w:r w:rsidRPr="006753A9">
        <w:t xml:space="preserve"> </w:t>
      </w:r>
    </w:p>
    <w:p w:rsidR="001278BC" w:rsidRPr="006753A9" w:rsidRDefault="00FA5DCE">
      <w:pPr>
        <w:numPr>
          <w:ilvl w:val="0"/>
          <w:numId w:val="1"/>
        </w:numPr>
        <w:ind w:right="0" w:hanging="360"/>
      </w:pPr>
      <w:r w:rsidRPr="006753A9">
        <w:t xml:space="preserve">Direction de l’exécution des travaux : VISA/DET, </w:t>
      </w:r>
    </w:p>
    <w:p w:rsidR="001278BC" w:rsidRPr="006753A9" w:rsidRDefault="00FA5DCE">
      <w:pPr>
        <w:spacing w:after="0" w:line="259" w:lineRule="auto"/>
        <w:ind w:left="0" w:right="0" w:firstLine="0"/>
        <w:jc w:val="left"/>
      </w:pPr>
      <w:r w:rsidRPr="006753A9">
        <w:t xml:space="preserve"> </w:t>
      </w:r>
    </w:p>
    <w:p w:rsidR="001278BC" w:rsidRPr="006753A9" w:rsidRDefault="00FA5DCE">
      <w:pPr>
        <w:numPr>
          <w:ilvl w:val="0"/>
          <w:numId w:val="1"/>
        </w:numPr>
        <w:ind w:right="0" w:hanging="360"/>
      </w:pPr>
      <w:r w:rsidRPr="006753A9">
        <w:t xml:space="preserve">Assistance aux opérations de réception et de garantie de parfait achèvement (AOR), </w:t>
      </w:r>
    </w:p>
    <w:p w:rsidR="008F2C0D" w:rsidRPr="006753A9" w:rsidRDefault="008F2C0D">
      <w:pPr>
        <w:numPr>
          <w:ilvl w:val="0"/>
          <w:numId w:val="1"/>
        </w:numPr>
        <w:ind w:right="0" w:hanging="360"/>
      </w:pPr>
    </w:p>
    <w:p w:rsidR="008F2C0D" w:rsidRPr="006753A9" w:rsidRDefault="008F2C0D" w:rsidP="008F2C0D">
      <w:pPr>
        <w:numPr>
          <w:ilvl w:val="0"/>
          <w:numId w:val="1"/>
        </w:numPr>
        <w:ind w:right="0" w:hanging="360"/>
      </w:pPr>
      <w:r w:rsidRPr="006753A9">
        <w:t xml:space="preserve">Ordonnancement, pilotage et coordination du chantier (OPC),  </w:t>
      </w:r>
    </w:p>
    <w:p w:rsidR="008F2C0D" w:rsidRPr="006753A9" w:rsidRDefault="008F2C0D" w:rsidP="008F2C0D">
      <w:pPr>
        <w:ind w:right="0"/>
      </w:pPr>
    </w:p>
    <w:p w:rsidR="001278BC" w:rsidRPr="006753A9" w:rsidRDefault="00FA5DCE">
      <w:pPr>
        <w:spacing w:after="0" w:line="259" w:lineRule="auto"/>
        <w:ind w:left="720" w:right="0" w:firstLine="0"/>
        <w:jc w:val="left"/>
      </w:pPr>
      <w:r w:rsidRPr="006753A9">
        <w:t xml:space="preserve"> </w:t>
      </w:r>
    </w:p>
    <w:p w:rsidR="001278BC" w:rsidRPr="006753A9" w:rsidRDefault="007C0E4C">
      <w:pPr>
        <w:spacing w:after="0" w:line="259" w:lineRule="auto"/>
        <w:ind w:left="149" w:right="0" w:firstLine="0"/>
        <w:jc w:val="center"/>
      </w:pPr>
      <w:r w:rsidRPr="006753A9">
        <w:rPr>
          <w:color w:val="auto"/>
        </w:rPr>
        <w:t xml:space="preserve">La mission </w:t>
      </w:r>
      <w:r w:rsidR="00FA5DCE" w:rsidRPr="006753A9">
        <w:t xml:space="preserve">est composée de plusieurs éléments qui sont définies dans le C.C.P. </w:t>
      </w:r>
    </w:p>
    <w:p w:rsidR="001278BC" w:rsidRPr="006753A9" w:rsidRDefault="00FA5DCE">
      <w:pPr>
        <w:spacing w:after="0" w:line="259" w:lineRule="auto"/>
        <w:ind w:left="0" w:right="0" w:firstLine="0"/>
        <w:jc w:val="left"/>
      </w:pPr>
      <w:r w:rsidRPr="006753A9">
        <w:t xml:space="preserve"> </w:t>
      </w:r>
    </w:p>
    <w:tbl>
      <w:tblPr>
        <w:tblStyle w:val="TableGrid"/>
        <w:tblW w:w="9736" w:type="dxa"/>
        <w:tblInd w:w="-107" w:type="dxa"/>
        <w:tblCellMar>
          <w:top w:w="6" w:type="dxa"/>
          <w:left w:w="107" w:type="dxa"/>
        </w:tblCellMar>
        <w:tblLook w:val="04A0" w:firstRow="1" w:lastRow="0" w:firstColumn="1" w:lastColumn="0" w:noHBand="0" w:noVBand="1"/>
      </w:tblPr>
      <w:tblGrid>
        <w:gridCol w:w="1950"/>
        <w:gridCol w:w="7786"/>
      </w:tblGrid>
      <w:tr w:rsidR="001278BC" w:rsidRPr="006753A9">
        <w:trPr>
          <w:trHeight w:val="391"/>
        </w:trPr>
        <w:tc>
          <w:tcPr>
            <w:tcW w:w="1950" w:type="dxa"/>
            <w:tcBorders>
              <w:top w:val="single" w:sz="4" w:space="0" w:color="000000"/>
              <w:left w:val="single" w:sz="4" w:space="0" w:color="000000"/>
              <w:bottom w:val="single" w:sz="4" w:space="0" w:color="000000"/>
              <w:right w:val="nil"/>
            </w:tcBorders>
            <w:shd w:val="clear" w:color="auto" w:fill="B6DDE8"/>
          </w:tcPr>
          <w:p w:rsidR="001278BC" w:rsidRPr="006753A9" w:rsidRDefault="001278BC">
            <w:pPr>
              <w:spacing w:after="160" w:line="259" w:lineRule="auto"/>
              <w:ind w:left="0" w:right="0" w:firstLine="0"/>
              <w:jc w:val="left"/>
            </w:pPr>
          </w:p>
        </w:tc>
        <w:tc>
          <w:tcPr>
            <w:tcW w:w="7786" w:type="dxa"/>
            <w:tcBorders>
              <w:top w:val="single" w:sz="4" w:space="0" w:color="000000"/>
              <w:left w:val="nil"/>
              <w:bottom w:val="single" w:sz="4" w:space="0" w:color="000000"/>
              <w:right w:val="single" w:sz="4" w:space="0" w:color="000000"/>
            </w:tcBorders>
            <w:shd w:val="clear" w:color="auto" w:fill="B6DDE8"/>
          </w:tcPr>
          <w:p w:rsidR="001278BC" w:rsidRPr="006753A9" w:rsidRDefault="00FA5DCE">
            <w:pPr>
              <w:spacing w:after="0" w:line="259" w:lineRule="auto"/>
              <w:ind w:left="1943" w:right="0" w:firstLine="0"/>
              <w:jc w:val="left"/>
            </w:pPr>
            <w:r w:rsidRPr="006753A9">
              <w:rPr>
                <w:b/>
              </w:rPr>
              <w:t xml:space="preserve">MISSION ETUDE </w:t>
            </w:r>
          </w:p>
        </w:tc>
      </w:tr>
      <w:tr w:rsidR="001278BC" w:rsidRPr="006753A9">
        <w:trPr>
          <w:trHeight w:val="772"/>
        </w:trPr>
        <w:tc>
          <w:tcPr>
            <w:tcW w:w="1950" w:type="dxa"/>
            <w:tcBorders>
              <w:top w:val="single" w:sz="4" w:space="0" w:color="000000"/>
              <w:left w:val="single" w:sz="4" w:space="0" w:color="000000"/>
              <w:bottom w:val="single" w:sz="4" w:space="0" w:color="000000"/>
              <w:right w:val="nil"/>
            </w:tcBorders>
          </w:tcPr>
          <w:p w:rsidR="001278BC" w:rsidRPr="006753A9" w:rsidRDefault="00FA5DCE">
            <w:pPr>
              <w:spacing w:after="0" w:line="259" w:lineRule="auto"/>
              <w:ind w:left="0" w:right="864" w:firstLine="0"/>
              <w:jc w:val="left"/>
            </w:pPr>
            <w:r w:rsidRPr="006753A9">
              <w:rPr>
                <w:rFonts w:eastAsia="Calibri"/>
                <w:noProof/>
              </w:rPr>
              <mc:AlternateContent>
                <mc:Choice Requires="wpg">
                  <w:drawing>
                    <wp:anchor distT="0" distB="0" distL="114300" distR="114300" simplePos="0" relativeHeight="251658240" behindDoc="0" locked="0" layoutInCell="1" allowOverlap="1">
                      <wp:simplePos x="0" y="0"/>
                      <wp:positionH relativeFrom="column">
                        <wp:posOffset>1235456</wp:posOffset>
                      </wp:positionH>
                      <wp:positionV relativeFrom="paragraph">
                        <wp:posOffset>-2955</wp:posOffset>
                      </wp:positionV>
                      <wp:extent cx="6096" cy="481888"/>
                      <wp:effectExtent l="0" t="0" r="0" b="0"/>
                      <wp:wrapSquare wrapText="bothSides"/>
                      <wp:docPr id="19079" name="Group 19079"/>
                      <wp:cNvGraphicFramePr/>
                      <a:graphic xmlns:a="http://schemas.openxmlformats.org/drawingml/2006/main">
                        <a:graphicData uri="http://schemas.microsoft.com/office/word/2010/wordprocessingGroup">
                          <wpg:wgp>
                            <wpg:cNvGrpSpPr/>
                            <wpg:grpSpPr>
                              <a:xfrm>
                                <a:off x="0" y="0"/>
                                <a:ext cx="6096" cy="481888"/>
                                <a:chOff x="0" y="0"/>
                                <a:chExt cx="6096" cy="481888"/>
                              </a:xfrm>
                            </wpg:grpSpPr>
                            <wps:wsp>
                              <wps:cNvPr id="22945" name="Shape 22945"/>
                              <wps:cNvSpPr/>
                              <wps:spPr>
                                <a:xfrm>
                                  <a:off x="0" y="0"/>
                                  <a:ext cx="9144" cy="481888"/>
                                </a:xfrm>
                                <a:custGeom>
                                  <a:avLst/>
                                  <a:gdLst/>
                                  <a:ahLst/>
                                  <a:cxnLst/>
                                  <a:rect l="0" t="0" r="0" b="0"/>
                                  <a:pathLst>
                                    <a:path w="9144" h="481888">
                                      <a:moveTo>
                                        <a:pt x="0" y="0"/>
                                      </a:moveTo>
                                      <a:lnTo>
                                        <a:pt x="9144" y="0"/>
                                      </a:lnTo>
                                      <a:lnTo>
                                        <a:pt x="9144" y="481888"/>
                                      </a:lnTo>
                                      <a:lnTo>
                                        <a:pt x="0" y="4818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79" style="width:0.480011pt;height:37.944pt;position:absolute;mso-position-horizontal-relative:text;mso-position-horizontal:absolute;margin-left:97.28pt;mso-position-vertical-relative:text;margin-top:-0.232788pt;" coordsize="60,4818">
                      <v:shape id="Shape 22946" style="position:absolute;width:91;height:4818;left:0;top:0;" coordsize="9144,481888" path="m0,0l9144,0l9144,481888l0,481888l0,0">
                        <v:stroke weight="0pt" endcap="flat" joinstyle="miter" miterlimit="10" on="false" color="#000000" opacity="0"/>
                        <v:fill on="true" color="#000000"/>
                      </v:shape>
                      <w10:wrap type="square"/>
                    </v:group>
                  </w:pict>
                </mc:Fallback>
              </mc:AlternateContent>
            </w:r>
            <w:r w:rsidRPr="006753A9">
              <w:t xml:space="preserve">PRO ACT </w:t>
            </w:r>
          </w:p>
        </w:tc>
        <w:tc>
          <w:tcPr>
            <w:tcW w:w="7786" w:type="dxa"/>
            <w:tcBorders>
              <w:top w:val="single" w:sz="4" w:space="0" w:color="000000"/>
              <w:left w:val="nil"/>
              <w:bottom w:val="single" w:sz="4" w:space="0" w:color="000000"/>
              <w:right w:val="single" w:sz="4" w:space="0" w:color="000000"/>
            </w:tcBorders>
          </w:tcPr>
          <w:p w:rsidR="001278BC" w:rsidRPr="006753A9" w:rsidRDefault="00FA5DCE">
            <w:pPr>
              <w:spacing w:after="0" w:line="259" w:lineRule="auto"/>
              <w:ind w:left="1" w:right="0" w:firstLine="0"/>
              <w:jc w:val="left"/>
            </w:pPr>
            <w:r w:rsidRPr="006753A9">
              <w:t xml:space="preserve">Étude de projet </w:t>
            </w:r>
          </w:p>
          <w:p w:rsidR="001278BC" w:rsidRPr="006753A9" w:rsidRDefault="00FA5DCE">
            <w:pPr>
              <w:spacing w:after="0" w:line="259" w:lineRule="auto"/>
              <w:ind w:left="1" w:right="0" w:firstLine="0"/>
              <w:jc w:val="left"/>
            </w:pPr>
            <w:r w:rsidRPr="006753A9">
              <w:t xml:space="preserve">Assistance pour la passation des marchés de travaux  </w:t>
            </w:r>
          </w:p>
          <w:p w:rsidR="001278BC" w:rsidRPr="006753A9" w:rsidRDefault="00FA5DCE">
            <w:pPr>
              <w:spacing w:after="0" w:line="259" w:lineRule="auto"/>
              <w:ind w:left="1" w:right="0" w:firstLine="0"/>
              <w:jc w:val="left"/>
            </w:pPr>
            <w:r w:rsidRPr="006753A9">
              <w:t xml:space="preserve">(Dossier de Consultation, Analyse des offres, mises au point) </w:t>
            </w:r>
          </w:p>
        </w:tc>
      </w:tr>
      <w:tr w:rsidR="001278BC" w:rsidRPr="006753A9">
        <w:trPr>
          <w:trHeight w:val="260"/>
        </w:trPr>
        <w:tc>
          <w:tcPr>
            <w:tcW w:w="1950" w:type="dxa"/>
            <w:tcBorders>
              <w:top w:val="single" w:sz="4" w:space="0" w:color="000000"/>
              <w:left w:val="single" w:sz="4" w:space="0" w:color="000000"/>
              <w:bottom w:val="single" w:sz="4" w:space="0" w:color="000000"/>
              <w:right w:val="nil"/>
            </w:tcBorders>
            <w:shd w:val="clear" w:color="auto" w:fill="C2D69B"/>
          </w:tcPr>
          <w:p w:rsidR="001278BC" w:rsidRPr="006753A9" w:rsidRDefault="001278BC">
            <w:pPr>
              <w:spacing w:after="160" w:line="259" w:lineRule="auto"/>
              <w:ind w:left="0" w:right="0" w:firstLine="0"/>
              <w:jc w:val="left"/>
            </w:pPr>
          </w:p>
        </w:tc>
        <w:tc>
          <w:tcPr>
            <w:tcW w:w="7786" w:type="dxa"/>
            <w:tcBorders>
              <w:top w:val="single" w:sz="4" w:space="0" w:color="000000"/>
              <w:left w:val="nil"/>
              <w:bottom w:val="single" w:sz="4" w:space="0" w:color="000000"/>
              <w:right w:val="single" w:sz="4" w:space="0" w:color="000000"/>
            </w:tcBorders>
            <w:shd w:val="clear" w:color="auto" w:fill="C2D69B"/>
          </w:tcPr>
          <w:p w:rsidR="001278BC" w:rsidRPr="006753A9" w:rsidRDefault="00FA5DCE">
            <w:pPr>
              <w:spacing w:after="0" w:line="259" w:lineRule="auto"/>
              <w:ind w:left="1782" w:right="0" w:firstLine="0"/>
              <w:jc w:val="left"/>
            </w:pPr>
            <w:r w:rsidRPr="006753A9">
              <w:rPr>
                <w:b/>
              </w:rPr>
              <w:t xml:space="preserve">MISSION TRAVAUX </w:t>
            </w:r>
          </w:p>
        </w:tc>
      </w:tr>
      <w:tr w:rsidR="001278BC" w:rsidRPr="006753A9">
        <w:trPr>
          <w:trHeight w:val="1276"/>
        </w:trPr>
        <w:tc>
          <w:tcPr>
            <w:tcW w:w="1950" w:type="dxa"/>
            <w:tcBorders>
              <w:top w:val="single" w:sz="4" w:space="0" w:color="000000"/>
              <w:left w:val="single" w:sz="4" w:space="0" w:color="000000"/>
              <w:bottom w:val="single" w:sz="4" w:space="0" w:color="000000"/>
              <w:right w:val="single" w:sz="4" w:space="0" w:color="000000"/>
            </w:tcBorders>
          </w:tcPr>
          <w:p w:rsidR="001278BC" w:rsidRPr="006753A9" w:rsidRDefault="00FA5DCE">
            <w:pPr>
              <w:spacing w:after="0" w:line="259" w:lineRule="auto"/>
              <w:ind w:left="0" w:right="0" w:firstLine="0"/>
              <w:jc w:val="left"/>
            </w:pPr>
            <w:r w:rsidRPr="006753A9">
              <w:t xml:space="preserve">VISA </w:t>
            </w:r>
          </w:p>
          <w:p w:rsidR="001278BC" w:rsidRPr="006753A9" w:rsidRDefault="00FA5DCE">
            <w:pPr>
              <w:spacing w:after="0" w:line="259" w:lineRule="auto"/>
              <w:ind w:left="0" w:right="0" w:firstLine="0"/>
              <w:jc w:val="left"/>
            </w:pPr>
            <w:r w:rsidRPr="006753A9">
              <w:t xml:space="preserve">DET </w:t>
            </w:r>
          </w:p>
          <w:p w:rsidR="001278BC" w:rsidRPr="006753A9" w:rsidRDefault="00FA5DCE">
            <w:pPr>
              <w:spacing w:after="0" w:line="259" w:lineRule="auto"/>
              <w:ind w:left="0" w:right="0" w:firstLine="0"/>
              <w:jc w:val="left"/>
            </w:pPr>
            <w:r w:rsidRPr="006753A9">
              <w:t xml:space="preserve">AOR </w:t>
            </w:r>
          </w:p>
        </w:tc>
        <w:tc>
          <w:tcPr>
            <w:tcW w:w="7786" w:type="dxa"/>
            <w:tcBorders>
              <w:top w:val="single" w:sz="4" w:space="0" w:color="000000"/>
              <w:left w:val="single" w:sz="4" w:space="0" w:color="000000"/>
              <w:bottom w:val="single" w:sz="4" w:space="0" w:color="000000"/>
              <w:right w:val="single" w:sz="4" w:space="0" w:color="000000"/>
            </w:tcBorders>
          </w:tcPr>
          <w:p w:rsidR="001278BC" w:rsidRPr="006753A9" w:rsidRDefault="00FA5DCE">
            <w:pPr>
              <w:spacing w:after="19" w:line="259" w:lineRule="auto"/>
              <w:ind w:left="1" w:right="0" w:firstLine="0"/>
              <w:jc w:val="left"/>
            </w:pPr>
            <w:r w:rsidRPr="006753A9">
              <w:t xml:space="preserve">Conformité et visa d’exécution du projet </w:t>
            </w:r>
          </w:p>
          <w:p w:rsidR="001278BC" w:rsidRPr="006753A9" w:rsidRDefault="00FA5DCE">
            <w:pPr>
              <w:spacing w:after="0" w:line="259" w:lineRule="auto"/>
              <w:ind w:left="1" w:right="0" w:firstLine="0"/>
              <w:jc w:val="left"/>
            </w:pPr>
            <w:r w:rsidRPr="006753A9">
              <w:t xml:space="preserve">Direction de l’exécution des travaux </w:t>
            </w:r>
          </w:p>
          <w:p w:rsidR="001278BC" w:rsidRPr="006753A9" w:rsidRDefault="00FA5DCE">
            <w:pPr>
              <w:spacing w:after="0" w:line="259" w:lineRule="auto"/>
              <w:ind w:left="1" w:right="0" w:firstLine="0"/>
              <w:jc w:val="left"/>
            </w:pPr>
            <w:r w:rsidRPr="006753A9">
              <w:t xml:space="preserve">Assistance lors des opérations de réception et pendant la garantie de parfait d’achèvement </w:t>
            </w:r>
          </w:p>
        </w:tc>
      </w:tr>
      <w:tr w:rsidR="004D39F8" w:rsidRPr="006753A9" w:rsidTr="00674CEC">
        <w:trPr>
          <w:trHeight w:val="260"/>
        </w:trPr>
        <w:tc>
          <w:tcPr>
            <w:tcW w:w="1950" w:type="dxa"/>
            <w:tcBorders>
              <w:top w:val="single" w:sz="4" w:space="0" w:color="000000"/>
              <w:left w:val="single" w:sz="4" w:space="0" w:color="000000"/>
              <w:bottom w:val="single" w:sz="4" w:space="0" w:color="000000"/>
              <w:right w:val="nil"/>
            </w:tcBorders>
            <w:shd w:val="clear" w:color="auto" w:fill="C2D69B"/>
          </w:tcPr>
          <w:p w:rsidR="004D39F8" w:rsidRPr="006753A9" w:rsidRDefault="004D39F8" w:rsidP="00674CEC">
            <w:pPr>
              <w:spacing w:after="160" w:line="259" w:lineRule="auto"/>
              <w:ind w:left="0" w:right="0" w:firstLine="0"/>
              <w:jc w:val="left"/>
              <w:rPr>
                <w:color w:val="auto"/>
              </w:rPr>
            </w:pPr>
          </w:p>
        </w:tc>
        <w:tc>
          <w:tcPr>
            <w:tcW w:w="7786" w:type="dxa"/>
            <w:tcBorders>
              <w:top w:val="single" w:sz="4" w:space="0" w:color="000000"/>
              <w:left w:val="nil"/>
              <w:bottom w:val="single" w:sz="4" w:space="0" w:color="000000"/>
              <w:right w:val="single" w:sz="4" w:space="0" w:color="000000"/>
            </w:tcBorders>
            <w:shd w:val="clear" w:color="auto" w:fill="C2D69B"/>
          </w:tcPr>
          <w:p w:rsidR="004D39F8" w:rsidRPr="006753A9" w:rsidRDefault="004D39F8" w:rsidP="004D39F8">
            <w:pPr>
              <w:spacing w:after="0" w:line="259" w:lineRule="auto"/>
              <w:ind w:left="1782" w:right="0" w:firstLine="0"/>
              <w:jc w:val="left"/>
              <w:rPr>
                <w:color w:val="auto"/>
              </w:rPr>
            </w:pPr>
            <w:r w:rsidRPr="006753A9">
              <w:rPr>
                <w:b/>
                <w:color w:val="auto"/>
              </w:rPr>
              <w:t>MISSION COMPLEMENTAIRE</w:t>
            </w:r>
          </w:p>
        </w:tc>
      </w:tr>
      <w:tr w:rsidR="004D39F8" w:rsidRPr="006753A9" w:rsidTr="004D39F8">
        <w:trPr>
          <w:trHeight w:val="455"/>
        </w:trPr>
        <w:tc>
          <w:tcPr>
            <w:tcW w:w="1950" w:type="dxa"/>
            <w:tcBorders>
              <w:top w:val="single" w:sz="4" w:space="0" w:color="000000"/>
              <w:left w:val="single" w:sz="4" w:space="0" w:color="000000"/>
              <w:bottom w:val="single" w:sz="4" w:space="0" w:color="000000"/>
              <w:right w:val="single" w:sz="4" w:space="0" w:color="000000"/>
            </w:tcBorders>
          </w:tcPr>
          <w:p w:rsidR="004D39F8" w:rsidRPr="006753A9" w:rsidRDefault="004D39F8">
            <w:pPr>
              <w:spacing w:after="0" w:line="259" w:lineRule="auto"/>
              <w:ind w:left="0" w:right="0" w:firstLine="0"/>
              <w:jc w:val="left"/>
              <w:rPr>
                <w:color w:val="auto"/>
              </w:rPr>
            </w:pPr>
            <w:r w:rsidRPr="006753A9">
              <w:rPr>
                <w:color w:val="auto"/>
              </w:rPr>
              <w:t>OPC</w:t>
            </w:r>
          </w:p>
        </w:tc>
        <w:tc>
          <w:tcPr>
            <w:tcW w:w="7786" w:type="dxa"/>
            <w:tcBorders>
              <w:top w:val="single" w:sz="4" w:space="0" w:color="000000"/>
              <w:left w:val="single" w:sz="4" w:space="0" w:color="000000"/>
              <w:bottom w:val="single" w:sz="4" w:space="0" w:color="000000"/>
              <w:right w:val="single" w:sz="4" w:space="0" w:color="000000"/>
            </w:tcBorders>
          </w:tcPr>
          <w:p w:rsidR="004D39F8" w:rsidRPr="006753A9" w:rsidRDefault="004D39F8" w:rsidP="004D39F8">
            <w:pPr>
              <w:spacing w:after="0" w:line="259" w:lineRule="auto"/>
              <w:ind w:left="1" w:right="0" w:firstLine="0"/>
              <w:jc w:val="left"/>
              <w:rPr>
                <w:color w:val="auto"/>
              </w:rPr>
            </w:pPr>
            <w:r w:rsidRPr="006753A9">
              <w:rPr>
                <w:color w:val="auto"/>
              </w:rPr>
              <w:t xml:space="preserve">Ordonnancement, Pilotage et Coordination </w:t>
            </w:r>
          </w:p>
        </w:tc>
      </w:tr>
    </w:tbl>
    <w:p w:rsidR="001278BC" w:rsidRPr="006753A9" w:rsidRDefault="00FA5DCE">
      <w:pPr>
        <w:spacing w:after="0" w:line="259" w:lineRule="auto"/>
        <w:ind w:left="0" w:right="0" w:firstLine="0"/>
        <w:jc w:val="left"/>
      </w:pPr>
      <w:r w:rsidRPr="006753A9">
        <w:t xml:space="preserve"> </w:t>
      </w:r>
    </w:p>
    <w:p w:rsidR="001278BC" w:rsidRPr="006753A9" w:rsidRDefault="001278BC">
      <w:pPr>
        <w:spacing w:after="0" w:line="259" w:lineRule="auto"/>
        <w:ind w:left="0" w:right="0" w:firstLine="0"/>
        <w:jc w:val="left"/>
        <w:rPr>
          <w:strike/>
        </w:rPr>
      </w:pPr>
    </w:p>
    <w:p w:rsidR="007C0E4C" w:rsidRPr="006753A9" w:rsidRDefault="007C0E4C">
      <w:pPr>
        <w:ind w:left="-5" w:right="0"/>
        <w:rPr>
          <w:strike/>
        </w:rPr>
      </w:pPr>
    </w:p>
    <w:p w:rsidR="007C0E4C" w:rsidRPr="006753A9" w:rsidRDefault="00FA5DCE" w:rsidP="00DC684E">
      <w:pPr>
        <w:pStyle w:val="Titre1"/>
        <w:ind w:left="-5"/>
        <w:rPr>
          <w:sz w:val="22"/>
        </w:rPr>
      </w:pPr>
      <w:r w:rsidRPr="006753A9">
        <w:rPr>
          <w:sz w:val="22"/>
        </w:rPr>
        <w:t xml:space="preserve"> </w:t>
      </w:r>
    </w:p>
    <w:p w:rsidR="007C0E4C" w:rsidRPr="006753A9" w:rsidRDefault="007C0E4C" w:rsidP="007C0E4C">
      <w:pPr>
        <w:spacing w:after="0" w:line="259" w:lineRule="auto"/>
        <w:ind w:left="-5" w:right="0"/>
        <w:jc w:val="left"/>
      </w:pPr>
    </w:p>
    <w:p w:rsidR="007C0E4C" w:rsidRPr="006753A9" w:rsidRDefault="007C0E4C">
      <w:pPr>
        <w:spacing w:after="0" w:line="259" w:lineRule="auto"/>
        <w:ind w:left="0" w:right="0" w:firstLine="0"/>
        <w:jc w:val="left"/>
      </w:pPr>
    </w:p>
    <w:p w:rsidR="001278BC" w:rsidRPr="006753A9" w:rsidRDefault="00FA5DCE">
      <w:pPr>
        <w:spacing w:after="0" w:line="259" w:lineRule="auto"/>
        <w:ind w:left="0" w:right="0" w:firstLine="0"/>
        <w:jc w:val="left"/>
      </w:pPr>
      <w:r w:rsidRPr="006753A9">
        <w:lastRenderedPageBreak/>
        <w:t xml:space="preserve"> </w:t>
      </w:r>
    </w:p>
    <w:p w:rsidR="001278BC" w:rsidRPr="006753A9" w:rsidRDefault="00FA5DCE">
      <w:pPr>
        <w:pStyle w:val="Titre1"/>
        <w:ind w:left="-5"/>
        <w:rPr>
          <w:sz w:val="22"/>
        </w:rPr>
      </w:pPr>
      <w:r w:rsidRPr="006753A9">
        <w:rPr>
          <w:sz w:val="22"/>
        </w:rPr>
        <w:t xml:space="preserve">Article </w:t>
      </w:r>
      <w:proofErr w:type="gramStart"/>
      <w:r w:rsidR="00DC684E" w:rsidRPr="006753A9">
        <w:rPr>
          <w:color w:val="auto"/>
          <w:sz w:val="22"/>
        </w:rPr>
        <w:t>2</w:t>
      </w:r>
      <w:r w:rsidRPr="006753A9">
        <w:rPr>
          <w:sz w:val="22"/>
        </w:rPr>
        <w:t>:</w:t>
      </w:r>
      <w:proofErr w:type="gramEnd"/>
      <w:r w:rsidRPr="006753A9">
        <w:rPr>
          <w:sz w:val="22"/>
        </w:rPr>
        <w:t xml:space="preserve"> Caractéristiques du marché </w:t>
      </w: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2"/>
        <w:ind w:left="-5"/>
        <w:rPr>
          <w:sz w:val="22"/>
        </w:rPr>
      </w:pPr>
      <w:r w:rsidRPr="006753A9">
        <w:rPr>
          <w:sz w:val="22"/>
        </w:rPr>
        <w:t>Article</w:t>
      </w:r>
      <w:r w:rsidR="00DC684E" w:rsidRPr="006753A9">
        <w:rPr>
          <w:sz w:val="22"/>
        </w:rPr>
        <w:t xml:space="preserve"> </w:t>
      </w:r>
      <w:r w:rsidR="00DC684E" w:rsidRPr="006753A9">
        <w:rPr>
          <w:color w:val="auto"/>
          <w:sz w:val="22"/>
        </w:rPr>
        <w:t>2</w:t>
      </w:r>
      <w:r w:rsidRPr="006753A9">
        <w:rPr>
          <w:color w:val="auto"/>
          <w:sz w:val="22"/>
        </w:rPr>
        <w:t xml:space="preserve"> </w:t>
      </w:r>
      <w:r w:rsidR="0021116A" w:rsidRPr="006753A9">
        <w:rPr>
          <w:strike/>
          <w:sz w:val="22"/>
        </w:rPr>
        <w:t>-</w:t>
      </w:r>
      <w:r w:rsidRPr="006753A9">
        <w:rPr>
          <w:sz w:val="22"/>
        </w:rPr>
        <w:t>1 Nature, date et effet du marché</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Le présent marché à procédure adaptée est soumis aux dispositions des articles </w:t>
      </w:r>
      <w:r w:rsidR="00DD7817" w:rsidRPr="006753A9">
        <w:t>27, 90 du décret 2016-360 du 25 mars 2016 relatif aux marchés publics.</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Le pouvoir adjudicateur, chargé de l'accomplissement des formalités procédurales nécessaires au lancement de la procédure de passation est le coordonnateur chargé de la gestion de la procédure. C’est à dire la commune de </w:t>
      </w:r>
      <w:r w:rsidR="00096557" w:rsidRPr="006753A9">
        <w:t xml:space="preserve">PIOLENC </w:t>
      </w:r>
      <w:r w:rsidRPr="006753A9">
        <w:t xml:space="preserve">représentée par Monsieur le Maire. </w:t>
      </w:r>
    </w:p>
    <w:p w:rsidR="001278BC" w:rsidRPr="006753A9" w:rsidRDefault="00FA5DCE" w:rsidP="00096557">
      <w:pPr>
        <w:spacing w:after="0" w:line="259" w:lineRule="auto"/>
        <w:ind w:left="0" w:right="0" w:firstLine="0"/>
        <w:jc w:val="left"/>
      </w:pPr>
      <w:r w:rsidRPr="006753A9">
        <w:t xml:space="preserve"> </w:t>
      </w:r>
    </w:p>
    <w:p w:rsidR="001278BC" w:rsidRPr="006753A9" w:rsidRDefault="00FA5DCE">
      <w:pPr>
        <w:spacing w:after="0" w:line="259" w:lineRule="auto"/>
        <w:ind w:left="708" w:right="0" w:firstLine="0"/>
        <w:jc w:val="left"/>
      </w:pPr>
      <w:r w:rsidRPr="006753A9">
        <w:t xml:space="preserve"> </w:t>
      </w:r>
    </w:p>
    <w:p w:rsidR="001278BC" w:rsidRPr="006753A9" w:rsidRDefault="00FA5DCE">
      <w:pPr>
        <w:ind w:left="-5" w:right="0"/>
      </w:pPr>
      <w:r w:rsidRPr="006753A9">
        <w:t xml:space="preserve">Conformément à l’article </w:t>
      </w:r>
      <w:r w:rsidR="00DD7817" w:rsidRPr="006753A9">
        <w:t>28 de l'Ordonna</w:t>
      </w:r>
      <w:r w:rsidR="0021116A" w:rsidRPr="006753A9">
        <w:t>n</w:t>
      </w:r>
      <w:r w:rsidR="00DD7817" w:rsidRPr="006753A9">
        <w:t>ce n°2015-899 du 23 juillet 2015 relative aux marchés publics, "la convention du groupement, signée par ses membres définit les règles de fonctionnement du groupement"</w:t>
      </w:r>
    </w:p>
    <w:p w:rsidR="001278BC" w:rsidRPr="006753A9" w:rsidRDefault="00FA5DCE">
      <w:pPr>
        <w:spacing w:after="23" w:line="259" w:lineRule="auto"/>
        <w:ind w:left="708" w:right="0" w:firstLine="0"/>
        <w:jc w:val="left"/>
      </w:pPr>
      <w:r w:rsidRPr="006753A9">
        <w:t xml:space="preserve"> </w:t>
      </w:r>
    </w:p>
    <w:p w:rsidR="001278BC" w:rsidRPr="006753A9" w:rsidRDefault="00FA5DCE">
      <w:pPr>
        <w:pStyle w:val="Titre2"/>
        <w:ind w:left="-5"/>
        <w:rPr>
          <w:sz w:val="22"/>
        </w:rPr>
      </w:pPr>
      <w:r w:rsidRPr="006753A9">
        <w:rPr>
          <w:sz w:val="22"/>
        </w:rPr>
        <w:t xml:space="preserve">Article </w:t>
      </w:r>
      <w:r w:rsidR="00DC684E" w:rsidRPr="006753A9">
        <w:rPr>
          <w:color w:val="auto"/>
          <w:sz w:val="22"/>
        </w:rPr>
        <w:t xml:space="preserve">2 </w:t>
      </w:r>
      <w:r w:rsidR="0021116A" w:rsidRPr="006753A9">
        <w:rPr>
          <w:strike/>
          <w:sz w:val="22"/>
        </w:rPr>
        <w:t>-</w:t>
      </w:r>
      <w:r w:rsidRPr="006753A9">
        <w:rPr>
          <w:sz w:val="22"/>
        </w:rPr>
        <w:t>2 Délais d’exécution</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234"/>
        <w:ind w:left="-5" w:right="0"/>
        <w:rPr>
          <w:strike/>
          <w:color w:val="auto"/>
        </w:rPr>
      </w:pPr>
      <w:r w:rsidRPr="006753A9">
        <w:rPr>
          <w:color w:val="auto"/>
        </w:rPr>
        <w:t>Le marché prend effet à la date de sa notification au(x) titulaire(s) du marché</w:t>
      </w:r>
      <w:r w:rsidR="00DC684E" w:rsidRPr="006753A9">
        <w:rPr>
          <w:color w:val="auto"/>
        </w:rPr>
        <w:t xml:space="preserve">, et s'achèvera après la période de parfait achèvement (y compris solde de tous les marchés et purge des délais de recours liés aux contentieux des contrats)  </w:t>
      </w:r>
    </w:p>
    <w:p w:rsidR="001278BC" w:rsidRPr="006753A9" w:rsidRDefault="00FA5DCE">
      <w:pPr>
        <w:spacing w:after="236"/>
        <w:ind w:left="-5" w:right="0"/>
      </w:pPr>
      <w:r w:rsidRPr="006753A9">
        <w:t xml:space="preserve">Le calendrier envisagé pour cette opération est le suivant :  </w:t>
      </w:r>
    </w:p>
    <w:p w:rsidR="001278BC" w:rsidRPr="006753A9" w:rsidRDefault="00FA5DCE">
      <w:pPr>
        <w:numPr>
          <w:ilvl w:val="0"/>
          <w:numId w:val="3"/>
        </w:numPr>
        <w:spacing w:after="227"/>
        <w:ind w:right="0" w:hanging="137"/>
      </w:pPr>
      <w:r w:rsidRPr="006753A9">
        <w:t xml:space="preserve">Remise des offres : </w:t>
      </w:r>
      <w:r w:rsidR="00DB2AF3" w:rsidRPr="006753A9">
        <w:t>6 juin 2018</w:t>
      </w:r>
    </w:p>
    <w:p w:rsidR="001278BC" w:rsidRPr="006753A9" w:rsidRDefault="00FA5DCE">
      <w:pPr>
        <w:numPr>
          <w:ilvl w:val="0"/>
          <w:numId w:val="3"/>
        </w:numPr>
        <w:spacing w:after="228"/>
        <w:ind w:right="0" w:hanging="137"/>
      </w:pPr>
      <w:r w:rsidRPr="006753A9">
        <w:t xml:space="preserve">Choix du titulaire : </w:t>
      </w:r>
      <w:r w:rsidR="00DB2AF3" w:rsidRPr="006753A9">
        <w:t>analyse des offres le 13 juin 2018</w:t>
      </w:r>
    </w:p>
    <w:p w:rsidR="001278BC" w:rsidRPr="006753A9" w:rsidRDefault="00FA5DCE">
      <w:pPr>
        <w:numPr>
          <w:ilvl w:val="0"/>
          <w:numId w:val="3"/>
        </w:numPr>
        <w:spacing w:after="226"/>
        <w:ind w:right="0" w:hanging="137"/>
      </w:pPr>
      <w:r w:rsidRPr="006753A9">
        <w:t xml:space="preserve">Mission Étude : </w:t>
      </w:r>
      <w:r w:rsidR="00DB2AF3" w:rsidRPr="006753A9">
        <w:t>à partir de juillet 2018</w:t>
      </w:r>
    </w:p>
    <w:p w:rsidR="001278BC" w:rsidRPr="006753A9" w:rsidRDefault="00FA5DCE">
      <w:pPr>
        <w:numPr>
          <w:ilvl w:val="0"/>
          <w:numId w:val="3"/>
        </w:numPr>
        <w:spacing w:after="245"/>
        <w:ind w:right="0" w:hanging="137"/>
      </w:pPr>
      <w:r w:rsidRPr="006753A9">
        <w:t xml:space="preserve">Mission Travaux à partir de </w:t>
      </w:r>
      <w:r w:rsidR="00096557" w:rsidRPr="006753A9">
        <w:t>novembre 2018</w:t>
      </w:r>
      <w:r w:rsidRPr="006753A9">
        <w:t xml:space="preserve"> </w:t>
      </w:r>
    </w:p>
    <w:p w:rsidR="001278BC" w:rsidRPr="006753A9" w:rsidRDefault="00FA5DCE">
      <w:pPr>
        <w:numPr>
          <w:ilvl w:val="0"/>
          <w:numId w:val="3"/>
        </w:numPr>
        <w:spacing w:after="257"/>
        <w:ind w:right="0" w:hanging="137"/>
      </w:pPr>
      <w:r w:rsidRPr="006753A9">
        <w:t xml:space="preserve">Réception des travaux : </w:t>
      </w:r>
      <w:r w:rsidR="00096557" w:rsidRPr="006753A9">
        <w:t>premier semestre 2019</w:t>
      </w:r>
      <w:r w:rsidRPr="006753A9">
        <w:t xml:space="preserve"> </w:t>
      </w:r>
    </w:p>
    <w:p w:rsidR="00DC684E" w:rsidRPr="006753A9" w:rsidRDefault="00DC684E">
      <w:pPr>
        <w:spacing w:after="33"/>
        <w:ind w:left="-5" w:right="0"/>
        <w:rPr>
          <w:i/>
          <w:color w:val="FF0000"/>
        </w:rPr>
      </w:pPr>
    </w:p>
    <w:p w:rsidR="00DC684E" w:rsidRPr="006753A9" w:rsidRDefault="00DC684E" w:rsidP="00DC684E">
      <w:pPr>
        <w:spacing w:after="0" w:line="259" w:lineRule="auto"/>
        <w:ind w:left="-5" w:right="0"/>
        <w:jc w:val="left"/>
        <w:rPr>
          <w:u w:val="single" w:color="000000"/>
        </w:rPr>
      </w:pPr>
      <w:r w:rsidRPr="006753A9">
        <w:rPr>
          <w:u w:val="single"/>
        </w:rPr>
        <w:t>Article</w:t>
      </w:r>
      <w:r w:rsidR="0021116A" w:rsidRPr="006753A9">
        <w:rPr>
          <w:u w:val="single"/>
        </w:rPr>
        <w:t xml:space="preserve"> 2</w:t>
      </w:r>
      <w:r w:rsidRPr="006753A9">
        <w:rPr>
          <w:u w:val="single"/>
        </w:rPr>
        <w:t xml:space="preserve"> </w:t>
      </w:r>
      <w:r w:rsidR="0021116A" w:rsidRPr="006753A9">
        <w:rPr>
          <w:u w:val="single"/>
        </w:rPr>
        <w:t>-</w:t>
      </w:r>
      <w:r w:rsidRPr="006753A9">
        <w:rPr>
          <w:u w:val="single" w:color="000000"/>
        </w:rPr>
        <w:t>3 Variantes</w:t>
      </w:r>
    </w:p>
    <w:p w:rsidR="00DC684E" w:rsidRPr="006753A9" w:rsidRDefault="00DC684E" w:rsidP="00DC684E">
      <w:pPr>
        <w:spacing w:after="0" w:line="259" w:lineRule="auto"/>
        <w:ind w:left="-5" w:right="0"/>
        <w:jc w:val="left"/>
        <w:rPr>
          <w:u w:val="single" w:color="000000"/>
        </w:rPr>
      </w:pPr>
    </w:p>
    <w:p w:rsidR="00DC684E" w:rsidRPr="006753A9" w:rsidRDefault="00DC684E" w:rsidP="00DC684E">
      <w:pPr>
        <w:pStyle w:val="Normal2"/>
        <w:ind w:left="0" w:firstLine="0"/>
        <w:rPr>
          <w:rFonts w:ascii="Arial" w:hAnsi="Arial" w:cs="Arial"/>
          <w:szCs w:val="22"/>
        </w:rPr>
      </w:pPr>
      <w:r w:rsidRPr="006753A9">
        <w:rPr>
          <w:rFonts w:ascii="Arial" w:hAnsi="Arial" w:cs="Arial"/>
          <w:szCs w:val="22"/>
        </w:rPr>
        <w:t xml:space="preserve"> En application de l'article 58 du décret n° 2016-360 du 25 mars 2016 relatif aux marchés publics, il est précisé que la personne publique n'autorise pas les variantes dans la présente consultation. </w:t>
      </w:r>
    </w:p>
    <w:p w:rsidR="00DC684E" w:rsidRPr="006753A9" w:rsidRDefault="00DC684E">
      <w:pPr>
        <w:spacing w:after="33"/>
        <w:ind w:left="-5" w:right="0"/>
        <w:rPr>
          <w:i/>
          <w:color w:val="FF0000"/>
        </w:rPr>
      </w:pPr>
    </w:p>
    <w:p w:rsidR="00FA5DCE" w:rsidRPr="006753A9" w:rsidRDefault="00FA5DCE">
      <w:pPr>
        <w:spacing w:after="33"/>
        <w:ind w:left="-5" w:right="0"/>
      </w:pPr>
    </w:p>
    <w:p w:rsidR="001278BC" w:rsidRPr="006753A9" w:rsidRDefault="00FA5DCE">
      <w:pPr>
        <w:pStyle w:val="Titre2"/>
        <w:ind w:left="-5"/>
        <w:rPr>
          <w:sz w:val="22"/>
        </w:rPr>
      </w:pPr>
      <w:r w:rsidRPr="006753A9">
        <w:rPr>
          <w:sz w:val="22"/>
        </w:rPr>
        <w:t xml:space="preserve">Article </w:t>
      </w:r>
      <w:r w:rsidR="00DC684E" w:rsidRPr="006753A9">
        <w:rPr>
          <w:color w:val="auto"/>
          <w:sz w:val="22"/>
        </w:rPr>
        <w:t xml:space="preserve">2 </w:t>
      </w:r>
      <w:r w:rsidR="0021116A" w:rsidRPr="006753A9">
        <w:rPr>
          <w:strike/>
          <w:color w:val="auto"/>
          <w:sz w:val="22"/>
        </w:rPr>
        <w:t>-</w:t>
      </w:r>
      <w:r w:rsidRPr="006753A9">
        <w:rPr>
          <w:sz w:val="22"/>
        </w:rPr>
        <w:t>4 Mode de règlement du marché</w:t>
      </w:r>
      <w:r w:rsidRPr="006753A9">
        <w:rPr>
          <w:sz w:val="22"/>
          <w:u w:val="none"/>
        </w:rPr>
        <w:t xml:space="preserve"> </w:t>
      </w:r>
    </w:p>
    <w:p w:rsidR="001278BC" w:rsidRPr="006753A9" w:rsidRDefault="00FA5DCE">
      <w:pPr>
        <w:spacing w:after="12" w:line="259" w:lineRule="auto"/>
        <w:ind w:left="0" w:right="0" w:firstLine="0"/>
        <w:jc w:val="left"/>
      </w:pPr>
      <w:r w:rsidRPr="006753A9">
        <w:t xml:space="preserve"> </w:t>
      </w:r>
      <w:r w:rsidRPr="006753A9">
        <w:tab/>
        <w:t xml:space="preserve"> </w:t>
      </w:r>
    </w:p>
    <w:p w:rsidR="001278BC" w:rsidRPr="006753A9" w:rsidRDefault="00FA5DCE">
      <w:pPr>
        <w:ind w:left="-5" w:right="0"/>
      </w:pPr>
      <w:r w:rsidRPr="006753A9">
        <w:t xml:space="preserve">Les prestations de maîtrise d’œuvre, objet du présent marché, seront financées </w:t>
      </w:r>
      <w:r w:rsidR="00FE5289" w:rsidRPr="006753A9">
        <w:t>selon les modalités suivantes :</w:t>
      </w:r>
    </w:p>
    <w:p w:rsidR="001278BC" w:rsidRPr="006753A9" w:rsidRDefault="00FA5DCE">
      <w:pPr>
        <w:spacing w:after="2" w:line="259" w:lineRule="auto"/>
        <w:ind w:left="0" w:right="0" w:firstLine="0"/>
        <w:jc w:val="left"/>
      </w:pPr>
      <w:r w:rsidRPr="006753A9">
        <w:t xml:space="preserve"> </w:t>
      </w:r>
    </w:p>
    <w:p w:rsidR="001278BC" w:rsidRPr="006753A9" w:rsidRDefault="00FA5DCE">
      <w:pPr>
        <w:ind w:left="-5" w:right="0"/>
      </w:pPr>
      <w:r w:rsidRPr="006753A9">
        <w:t xml:space="preserve">Le financement est réalisé sur le budget </w:t>
      </w:r>
      <w:r w:rsidR="00FE5289" w:rsidRPr="006753A9">
        <w:rPr>
          <w:color w:val="auto"/>
        </w:rPr>
        <w:t>propre de chaque</w:t>
      </w:r>
      <w:r w:rsidR="004D39F8" w:rsidRPr="006753A9">
        <w:rPr>
          <w:color w:val="auto"/>
        </w:rPr>
        <w:t xml:space="preserve"> commune</w:t>
      </w:r>
      <w:r w:rsidR="00FE5289" w:rsidRPr="006753A9">
        <w:rPr>
          <w:color w:val="auto"/>
        </w:rPr>
        <w:t xml:space="preserve"> </w:t>
      </w:r>
      <w:r w:rsidRPr="006753A9">
        <w:t>à savoir les communes de Caderousse</w:t>
      </w:r>
      <w:r w:rsidR="00DB2AF3" w:rsidRPr="006753A9">
        <w:t xml:space="preserve"> (pour les périmètres perturbé</w:t>
      </w:r>
      <w:r w:rsidR="00FE5289" w:rsidRPr="006753A9">
        <w:t>s</w:t>
      </w:r>
      <w:r w:rsidR="00DB2AF3" w:rsidRPr="006753A9">
        <w:t xml:space="preserve"> et complémentaire</w:t>
      </w:r>
      <w:r w:rsidR="00FE5289" w:rsidRPr="006753A9">
        <w:t>s</w:t>
      </w:r>
      <w:r w:rsidR="004D39F8" w:rsidRPr="006753A9">
        <w:t>),</w:t>
      </w:r>
      <w:r w:rsidRPr="006753A9">
        <w:t xml:space="preserve"> Mornas, Orange et Piolenc</w:t>
      </w:r>
      <w:r w:rsidR="00DB2AF3" w:rsidRPr="006753A9">
        <w:t xml:space="preserve"> (pour le seul périmètre perturbé) et l’AFAFAF (pour les périmètres complémentaires de Piolenc et Mornas)</w:t>
      </w:r>
      <w:r w:rsidRPr="006753A9">
        <w:t xml:space="preserve"> au prorata des travaux à réaliser sur chacune des </w:t>
      </w:r>
      <w:r w:rsidR="00DB2AF3" w:rsidRPr="006753A9">
        <w:t>5</w:t>
      </w:r>
      <w:r w:rsidRPr="006753A9">
        <w:t xml:space="preserve"> </w:t>
      </w:r>
      <w:r w:rsidR="00DB2AF3" w:rsidRPr="006753A9">
        <w:t xml:space="preserve">entités </w:t>
      </w:r>
      <w:r w:rsidRPr="006753A9">
        <w:t xml:space="preserve">précitées. </w:t>
      </w:r>
    </w:p>
    <w:p w:rsidR="001278BC" w:rsidRPr="006753A9" w:rsidRDefault="00FA5DCE">
      <w:pPr>
        <w:spacing w:after="0" w:line="259" w:lineRule="auto"/>
        <w:ind w:left="0" w:right="0" w:firstLine="0"/>
        <w:jc w:val="left"/>
      </w:pPr>
      <w:r w:rsidRPr="006753A9">
        <w:t xml:space="preserve"> </w:t>
      </w:r>
    </w:p>
    <w:p w:rsidR="001278BC" w:rsidRPr="006753A9" w:rsidRDefault="001278BC">
      <w:pPr>
        <w:spacing w:after="0" w:line="259" w:lineRule="auto"/>
        <w:ind w:left="0" w:right="0" w:firstLine="0"/>
        <w:jc w:val="left"/>
      </w:pPr>
    </w:p>
    <w:p w:rsidR="001278BC" w:rsidRPr="006753A9" w:rsidRDefault="00FA5DCE">
      <w:pPr>
        <w:ind w:left="-5" w:right="0"/>
      </w:pPr>
      <w:r w:rsidRPr="006753A9">
        <w:lastRenderedPageBreak/>
        <w:t xml:space="preserve">Les sommes dues au(x) titulaire(s) et au(x) sous-traitant(s) de premier rang éventuel(s) du marché, seront payées dans un délai global de 30 jours à compter de la date de réception des factures ou des demandes de paiement équivalentes.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En vertu des articles L.123-24 à L.123-26 du code rural et de la pêche maritime, le maître d'ouvrage de l’infrastructure à savoir SNCF Réseau doit remédier aux dommages causés par la construction de la </w:t>
      </w:r>
      <w:r w:rsidR="00DB2AF3" w:rsidRPr="006753A9">
        <w:t>LGV Méditerranée</w:t>
      </w:r>
      <w:r w:rsidRPr="006753A9">
        <w:t>, notamment en participant financièrement à l'exécution des travaux connexes à l’Aménagement Foncier Agricole et Forestier</w:t>
      </w:r>
      <w:r w:rsidR="00DB2AF3" w:rsidRPr="006753A9">
        <w:t xml:space="preserve"> sur le périmètre perturbé ; SNCF réseau ne participant pas au financement des travaux connexes sur le périmètre complémentaire</w:t>
      </w:r>
      <w:r w:rsidRPr="006753A9">
        <w:t xml:space="preserve">.  </w:t>
      </w:r>
    </w:p>
    <w:p w:rsidR="001278BC" w:rsidRPr="006753A9" w:rsidRDefault="001278BC">
      <w:pPr>
        <w:spacing w:after="0" w:line="259" w:lineRule="auto"/>
        <w:ind w:left="0" w:right="0" w:firstLine="0"/>
        <w:jc w:val="left"/>
      </w:pPr>
    </w:p>
    <w:p w:rsidR="001278BC" w:rsidRPr="006753A9" w:rsidRDefault="00FA5DCE">
      <w:pPr>
        <w:pStyle w:val="Titre2"/>
        <w:ind w:left="-5"/>
        <w:rPr>
          <w:sz w:val="22"/>
        </w:rPr>
      </w:pPr>
      <w:r w:rsidRPr="006753A9">
        <w:rPr>
          <w:sz w:val="22"/>
        </w:rPr>
        <w:t xml:space="preserve">Article </w:t>
      </w:r>
      <w:r w:rsidR="00DC684E" w:rsidRPr="006753A9">
        <w:rPr>
          <w:color w:val="auto"/>
          <w:sz w:val="22"/>
        </w:rPr>
        <w:t xml:space="preserve">2 </w:t>
      </w:r>
      <w:r w:rsidR="0021116A" w:rsidRPr="006753A9">
        <w:rPr>
          <w:strike/>
          <w:color w:val="auto"/>
          <w:sz w:val="22"/>
        </w:rPr>
        <w:t>-</w:t>
      </w:r>
      <w:r w:rsidRPr="006753A9">
        <w:rPr>
          <w:sz w:val="22"/>
        </w:rPr>
        <w:t>5 Avance</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4D39F8" w:rsidRPr="006753A9" w:rsidRDefault="004D39F8" w:rsidP="004D39F8">
      <w:pPr>
        <w:pStyle w:val="Normal2"/>
        <w:ind w:left="0"/>
        <w:rPr>
          <w:rFonts w:ascii="Arial" w:hAnsi="Arial" w:cs="Arial"/>
          <w:szCs w:val="22"/>
        </w:rPr>
      </w:pPr>
      <w:r w:rsidRPr="006753A9">
        <w:rPr>
          <w:rFonts w:ascii="Arial" w:hAnsi="Arial" w:cs="Arial"/>
          <w:szCs w:val="22"/>
        </w:rPr>
        <w:t>Une avance est accordée au titulaire, sauf indication contraire dans l’acte d’engagement, lorsque le montant initial du marché est supérieur à 50 000 €.HT et dans la mesure où le délai d’exécution est supérieur à 2 mois.</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szCs w:val="22"/>
        </w:rPr>
        <w:t>Le montant de l’avance est fixé à 5,00 % du montant initial, toutes taxes comprises, du marché si sa durée est inférieure ou égale à douze mois ; si cette durée est supérieure à douze mois, l’avance est égale à 5,00 % d’une somme égale à douze fois le montant mentionné ci-dessus divisé par cette durée exprimée en mois.</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szCs w:val="22"/>
        </w:rPr>
        <w:t>Le montant de l’avance ne peut être affecté par la mise en œuvre d’une clause de variation de prix.</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szCs w:val="22"/>
        </w:rPr>
        <w:t>Le remboursement de l’avance commence lorsque le montant des prestations exécutées par le titulaire atteint ou dépasse 65,00 % du montant initial du marché. Il doit être terminé lorsque ledit montant atteint 80,00 % du montant initial, toutes taxes comprises, du marché.</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szCs w:val="22"/>
        </w:rPr>
        <w:t>Ce remboursement s’effectue par précompte sur les sommes dues ultérieurement au titulaire à titre d’acompte ou de solde.</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szCs w:val="22"/>
        </w:rPr>
        <w:t xml:space="preserve">Le versement de l'avance est conditionné par la constitution d'une garantie à première demande portant sur un engagement du montant total de l'avance consentie. </w:t>
      </w:r>
    </w:p>
    <w:p w:rsidR="004D39F8" w:rsidRPr="006753A9" w:rsidRDefault="004D39F8" w:rsidP="004D39F8">
      <w:pPr>
        <w:pStyle w:val="Normal2"/>
        <w:ind w:left="0"/>
        <w:rPr>
          <w:rFonts w:ascii="Arial" w:hAnsi="Arial" w:cs="Arial"/>
          <w:szCs w:val="22"/>
        </w:rPr>
      </w:pPr>
      <w:r w:rsidRPr="006753A9">
        <w:rPr>
          <w:rFonts w:ascii="Arial" w:hAnsi="Arial" w:cs="Arial"/>
          <w:szCs w:val="22"/>
        </w:rPr>
        <w:t>La caution personnelle et solidaire n’est pas autorisée.</w:t>
      </w:r>
    </w:p>
    <w:p w:rsidR="004D39F8" w:rsidRPr="006753A9" w:rsidRDefault="004D39F8" w:rsidP="004D39F8">
      <w:pPr>
        <w:pStyle w:val="Normal2"/>
        <w:ind w:left="0"/>
        <w:rPr>
          <w:rFonts w:ascii="Arial" w:hAnsi="Arial" w:cs="Arial"/>
          <w:szCs w:val="22"/>
        </w:rPr>
      </w:pPr>
    </w:p>
    <w:p w:rsidR="004D39F8" w:rsidRPr="006753A9" w:rsidRDefault="004D39F8" w:rsidP="004D39F8">
      <w:pPr>
        <w:pStyle w:val="Normal2"/>
        <w:ind w:left="0"/>
        <w:rPr>
          <w:rFonts w:ascii="Arial" w:hAnsi="Arial" w:cs="Arial"/>
          <w:szCs w:val="22"/>
        </w:rPr>
      </w:pPr>
      <w:r w:rsidRPr="006753A9">
        <w:rPr>
          <w:rFonts w:ascii="Arial" w:hAnsi="Arial" w:cs="Arial"/>
          <w:b/>
          <w:szCs w:val="22"/>
        </w:rPr>
        <w:t>Nota :</w:t>
      </w:r>
      <w:r w:rsidRPr="006753A9">
        <w:rPr>
          <w:rFonts w:ascii="Arial" w:hAnsi="Arial" w:cs="Arial"/>
          <w:szCs w:val="22"/>
        </w:rPr>
        <w:t xml:space="preserve"> Dès lors que le titulaire remplit les conditions pour bénéficier d’une avance, une avance peut être versée, sur leur demande, aux sous-traitants bénéficiaires du paiement direct suivant les mêmes dispositions (taux de l’avance et conditions de versement et de remboursement ...) que celles applicables au titulaire du marché, avec les particularités détaillées à l’article 135 du Décret nº2016-360 du 25 mars 2016.</w:t>
      </w:r>
    </w:p>
    <w:p w:rsidR="004D39F8" w:rsidRPr="006753A9" w:rsidRDefault="004D39F8" w:rsidP="004D39F8">
      <w:pPr>
        <w:pStyle w:val="Normal2"/>
        <w:ind w:left="0"/>
        <w:rPr>
          <w:rFonts w:ascii="Arial" w:hAnsi="Arial" w:cs="Arial"/>
          <w:szCs w:val="22"/>
        </w:rPr>
      </w:pPr>
    </w:p>
    <w:p w:rsidR="001278BC" w:rsidRPr="006753A9" w:rsidRDefault="001278BC">
      <w:pPr>
        <w:spacing w:after="21" w:line="259" w:lineRule="auto"/>
        <w:ind w:left="0" w:right="0" w:firstLine="0"/>
        <w:jc w:val="left"/>
      </w:pPr>
    </w:p>
    <w:p w:rsidR="001278BC" w:rsidRPr="006753A9" w:rsidRDefault="00FA5DCE">
      <w:pPr>
        <w:pStyle w:val="Titre2"/>
        <w:ind w:left="-5"/>
        <w:rPr>
          <w:sz w:val="22"/>
          <w:u w:val="none"/>
        </w:rPr>
      </w:pPr>
      <w:r w:rsidRPr="006753A9">
        <w:rPr>
          <w:sz w:val="22"/>
        </w:rPr>
        <w:t xml:space="preserve">Article </w:t>
      </w:r>
      <w:r w:rsidR="00462841" w:rsidRPr="006753A9">
        <w:rPr>
          <w:sz w:val="22"/>
        </w:rPr>
        <w:t>2</w:t>
      </w:r>
      <w:r w:rsidRPr="006753A9">
        <w:rPr>
          <w:sz w:val="22"/>
        </w:rPr>
        <w:t>-6 Forme juridique de l’attributaire</w:t>
      </w:r>
      <w:r w:rsidRPr="006753A9">
        <w:rPr>
          <w:sz w:val="22"/>
          <w:u w:val="none"/>
        </w:rPr>
        <w:t xml:space="preserve"> </w:t>
      </w:r>
    </w:p>
    <w:p w:rsidR="00FE5289" w:rsidRPr="006753A9" w:rsidRDefault="00FE5289" w:rsidP="00FE5289"/>
    <w:p w:rsidR="00FE5289" w:rsidRPr="006753A9" w:rsidRDefault="00FE5289" w:rsidP="00FE5289">
      <w:pPr>
        <w:rPr>
          <w:color w:val="auto"/>
        </w:rPr>
      </w:pPr>
      <w:r w:rsidRPr="006753A9">
        <w:rPr>
          <w:color w:val="auto"/>
        </w:rPr>
        <w:t>En cas de groupement, la forme souhaitée par le pouvoir adjudicateur est un groupement conjoint avec mandataire solidaire.</w:t>
      </w:r>
    </w:p>
    <w:p w:rsidR="00FE5289" w:rsidRPr="006753A9" w:rsidRDefault="00FE5289" w:rsidP="00FE5289">
      <w:pPr>
        <w:rPr>
          <w:color w:val="auto"/>
        </w:rPr>
      </w:pPr>
    </w:p>
    <w:p w:rsidR="00FE5289" w:rsidRPr="006753A9" w:rsidRDefault="004D39F8" w:rsidP="00FE5289">
      <w:pPr>
        <w:rPr>
          <w:color w:val="auto"/>
        </w:rPr>
      </w:pPr>
      <w:r w:rsidRPr="006753A9">
        <w:rPr>
          <w:color w:val="auto"/>
        </w:rPr>
        <w:t>Dans le</w:t>
      </w:r>
      <w:r w:rsidR="00FE5289" w:rsidRPr="006753A9">
        <w:rPr>
          <w:color w:val="auto"/>
        </w:rPr>
        <w:t xml:space="preserve"> groupement conjoint, le mandataire est solidaire de chacun des autres opérateurs du groupement dans les obligations contractuelles de celui-ci à l’égard du représentant de l’entité adjudicatrice jusqu’à la date à laquelle ces obligations prennent fin.</w:t>
      </w:r>
    </w:p>
    <w:p w:rsidR="00FE5289" w:rsidRPr="006753A9" w:rsidRDefault="00FE5289" w:rsidP="00FE5289">
      <w:pPr>
        <w:rPr>
          <w:color w:val="auto"/>
        </w:rPr>
      </w:pPr>
    </w:p>
    <w:p w:rsidR="00FE5289" w:rsidRPr="006753A9" w:rsidRDefault="00FE5289" w:rsidP="00FE5289">
      <w:pPr>
        <w:autoSpaceDE w:val="0"/>
        <w:autoSpaceDN w:val="0"/>
        <w:adjustRightInd w:val="0"/>
        <w:rPr>
          <w:color w:val="auto"/>
        </w:rPr>
      </w:pPr>
      <w:r w:rsidRPr="006753A9">
        <w:rPr>
          <w:color w:val="auto"/>
        </w:rPr>
        <w:t>Le groupement est conjoint lorsque chacun des opérateurs économiques membres du groupement s'engage à exécuter la ou les prestations qui sont susceptibles de lui être attribuées dans le marché public.</w:t>
      </w:r>
    </w:p>
    <w:p w:rsidR="00462841" w:rsidRPr="006753A9" w:rsidRDefault="00462841" w:rsidP="00FE5289">
      <w:pPr>
        <w:autoSpaceDE w:val="0"/>
        <w:autoSpaceDN w:val="0"/>
        <w:adjustRightInd w:val="0"/>
        <w:rPr>
          <w:color w:val="auto"/>
        </w:rPr>
      </w:pPr>
    </w:p>
    <w:p w:rsidR="00FE5289" w:rsidRPr="006753A9" w:rsidRDefault="00FE5289" w:rsidP="00FE5289">
      <w:pPr>
        <w:autoSpaceDE w:val="0"/>
        <w:autoSpaceDN w:val="0"/>
        <w:adjustRightInd w:val="0"/>
        <w:rPr>
          <w:color w:val="auto"/>
        </w:rPr>
      </w:pPr>
      <w:r w:rsidRPr="006753A9">
        <w:rPr>
          <w:color w:val="auto"/>
        </w:rPr>
        <w:t>Le mandataire du groupement conjoint est solidaire, pour l'exécution du marché public, de chacun des membres du groupement pour ses obligations contractuelles à l'égard de l'acheteur.</w:t>
      </w:r>
    </w:p>
    <w:p w:rsidR="001278BC" w:rsidRPr="006753A9" w:rsidRDefault="00FE5289" w:rsidP="00674CEC">
      <w:pPr>
        <w:autoSpaceDE w:val="0"/>
        <w:autoSpaceDN w:val="0"/>
        <w:adjustRightInd w:val="0"/>
        <w:rPr>
          <w:color w:val="auto"/>
        </w:rPr>
      </w:pPr>
      <w:r w:rsidRPr="006753A9">
        <w:rPr>
          <w:color w:val="auto"/>
        </w:rPr>
        <w:t>Les candidatures et les offres sont présentées soit par l'ensemble des membres du groupement, soit par un mandataire qui justifie des habilitations nécessaires pour représenter les autres membres du groupement. Un même opérateur économique ne peut pas être mandataire de plus d'un groupement pour un même marché public.</w:t>
      </w:r>
      <w:r w:rsidR="00FA5DCE" w:rsidRPr="006753A9">
        <w:rPr>
          <w:color w:val="auto"/>
        </w:rPr>
        <w:t xml:space="preserve"> </w:t>
      </w:r>
    </w:p>
    <w:p w:rsidR="001278BC" w:rsidRPr="006753A9" w:rsidRDefault="001278BC">
      <w:pPr>
        <w:spacing w:after="0" w:line="259" w:lineRule="auto"/>
        <w:ind w:left="708" w:right="0" w:firstLine="0"/>
        <w:jc w:val="left"/>
      </w:pPr>
    </w:p>
    <w:p w:rsidR="001278BC" w:rsidRPr="006753A9" w:rsidRDefault="00FA5DCE">
      <w:pPr>
        <w:pStyle w:val="Titre2"/>
        <w:ind w:left="-5"/>
        <w:rPr>
          <w:sz w:val="22"/>
        </w:rPr>
      </w:pPr>
      <w:r w:rsidRPr="006753A9">
        <w:rPr>
          <w:sz w:val="22"/>
        </w:rPr>
        <w:t xml:space="preserve">Article </w:t>
      </w:r>
      <w:r w:rsidR="00462841" w:rsidRPr="006753A9">
        <w:rPr>
          <w:sz w:val="22"/>
        </w:rPr>
        <w:t>2-7</w:t>
      </w:r>
      <w:r w:rsidRPr="006753A9">
        <w:rPr>
          <w:sz w:val="22"/>
        </w:rPr>
        <w:t xml:space="preserve"> Délai de validité des offres</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rsidP="00674CEC">
      <w:pPr>
        <w:ind w:left="-5" w:right="0"/>
      </w:pPr>
      <w:r w:rsidRPr="006753A9">
        <w:t>Le délai de validité des offres est fixé à 90 jours (quatre-vingt-dix jours) à compter de la date limite de réception des offres</w:t>
      </w:r>
      <w:r w:rsidR="00674CEC" w:rsidRPr="006753A9">
        <w:t>.</w:t>
      </w:r>
    </w:p>
    <w:p w:rsidR="001278BC" w:rsidRPr="006753A9" w:rsidRDefault="00FA5DCE">
      <w:pPr>
        <w:spacing w:after="0" w:line="259" w:lineRule="auto"/>
        <w:ind w:left="708" w:right="0" w:firstLine="0"/>
        <w:jc w:val="left"/>
      </w:pPr>
      <w:r w:rsidRPr="006753A9">
        <w:t xml:space="preserve"> </w:t>
      </w:r>
    </w:p>
    <w:p w:rsidR="001278BC" w:rsidRPr="006753A9" w:rsidRDefault="00FA5DCE">
      <w:pPr>
        <w:pStyle w:val="Titre1"/>
        <w:tabs>
          <w:tab w:val="center" w:pos="7067"/>
        </w:tabs>
        <w:ind w:left="-15" w:firstLine="0"/>
        <w:rPr>
          <w:sz w:val="22"/>
        </w:rPr>
      </w:pPr>
      <w:r w:rsidRPr="006753A9">
        <w:rPr>
          <w:sz w:val="22"/>
        </w:rPr>
        <w:t xml:space="preserve">Article </w:t>
      </w:r>
      <w:r w:rsidR="00462841" w:rsidRPr="006753A9">
        <w:rPr>
          <w:sz w:val="22"/>
        </w:rPr>
        <w:t>3</w:t>
      </w:r>
      <w:r w:rsidRPr="006753A9">
        <w:rPr>
          <w:sz w:val="22"/>
        </w:rPr>
        <w:t xml:space="preserve"> : Dossier de consultation </w:t>
      </w:r>
      <w:r w:rsidRPr="006753A9">
        <w:rPr>
          <w:sz w:val="22"/>
        </w:rPr>
        <w:tab/>
        <w:t xml:space="preserve"> </w:t>
      </w: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pStyle w:val="Titre2"/>
        <w:ind w:left="-5"/>
        <w:rPr>
          <w:sz w:val="22"/>
        </w:rPr>
      </w:pPr>
      <w:r w:rsidRPr="006753A9">
        <w:rPr>
          <w:sz w:val="22"/>
        </w:rPr>
        <w:t xml:space="preserve">Article </w:t>
      </w:r>
      <w:r w:rsidR="00462841" w:rsidRPr="006753A9">
        <w:rPr>
          <w:sz w:val="22"/>
        </w:rPr>
        <w:t>3</w:t>
      </w:r>
      <w:r w:rsidRPr="006753A9">
        <w:rPr>
          <w:sz w:val="22"/>
        </w:rPr>
        <w:t>-1 Contenu du dossier de consultation</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Le dossier de consultation comprend les documents suivants : </w:t>
      </w:r>
    </w:p>
    <w:p w:rsidR="001278BC" w:rsidRPr="006753A9" w:rsidRDefault="00FA5DCE">
      <w:pPr>
        <w:spacing w:after="0" w:line="259" w:lineRule="auto"/>
        <w:ind w:left="0" w:right="0" w:firstLine="0"/>
        <w:jc w:val="left"/>
      </w:pPr>
      <w:r w:rsidRPr="006753A9">
        <w:t xml:space="preserve"> </w:t>
      </w:r>
    </w:p>
    <w:p w:rsidR="001278BC" w:rsidRPr="006753A9" w:rsidRDefault="00FA5DCE">
      <w:pPr>
        <w:numPr>
          <w:ilvl w:val="1"/>
          <w:numId w:val="4"/>
        </w:numPr>
        <w:ind w:right="0" w:hanging="182"/>
      </w:pPr>
      <w:proofErr w:type="gramStart"/>
      <w:r w:rsidRPr="006753A9">
        <w:t>le</w:t>
      </w:r>
      <w:proofErr w:type="gramEnd"/>
      <w:r w:rsidRPr="006753A9">
        <w:t xml:space="preserve"> présent règlement de la consultation, commun aux maîtres d’ouvrage des travaux connexes; </w:t>
      </w:r>
    </w:p>
    <w:p w:rsidR="001278BC" w:rsidRPr="006753A9" w:rsidRDefault="00FA5DCE">
      <w:pPr>
        <w:numPr>
          <w:ilvl w:val="1"/>
          <w:numId w:val="4"/>
        </w:numPr>
        <w:ind w:right="0" w:hanging="182"/>
        <w:rPr>
          <w:strike/>
        </w:rPr>
      </w:pPr>
      <w:proofErr w:type="gramStart"/>
      <w:r w:rsidRPr="006753A9">
        <w:t>les</w:t>
      </w:r>
      <w:proofErr w:type="gramEnd"/>
      <w:r w:rsidRPr="006753A9">
        <w:t xml:space="preserve"> actes d’engagement et leurs éventuelles annexes, propre à chaque maître d’ouvrage des travaux connexes ;</w:t>
      </w:r>
      <w:r w:rsidRPr="006753A9">
        <w:rPr>
          <w:b/>
        </w:rPr>
        <w:t xml:space="preserve"> </w:t>
      </w:r>
    </w:p>
    <w:p w:rsidR="001278BC" w:rsidRPr="006753A9" w:rsidRDefault="00FA5DCE">
      <w:pPr>
        <w:numPr>
          <w:ilvl w:val="1"/>
          <w:numId w:val="4"/>
        </w:numPr>
        <w:ind w:right="0" w:hanging="182"/>
      </w:pPr>
      <w:proofErr w:type="gramStart"/>
      <w:r w:rsidRPr="006753A9">
        <w:t>le</w:t>
      </w:r>
      <w:proofErr w:type="gramEnd"/>
      <w:r w:rsidRPr="006753A9">
        <w:t xml:space="preserve"> cahier des clauses particulières (CCP), commun aux maîtres d’ouvrage des travaux connexes ;</w:t>
      </w:r>
      <w:r w:rsidRPr="006753A9">
        <w:rPr>
          <w:b/>
        </w:rPr>
        <w:t xml:space="preserve"> </w:t>
      </w:r>
    </w:p>
    <w:p w:rsidR="001278BC" w:rsidRPr="006753A9" w:rsidRDefault="004D39F8">
      <w:pPr>
        <w:numPr>
          <w:ilvl w:val="1"/>
          <w:numId w:val="4"/>
        </w:numPr>
        <w:ind w:right="0" w:hanging="182"/>
      </w:pPr>
      <w:proofErr w:type="gramStart"/>
      <w:r w:rsidRPr="006753A9">
        <w:t>le</w:t>
      </w:r>
      <w:proofErr w:type="gramEnd"/>
      <w:r w:rsidRPr="006753A9">
        <w:t xml:space="preserve"> mémoire méthodologique,</w:t>
      </w:r>
      <w:r w:rsidR="00F15FCB" w:rsidRPr="006753A9">
        <w:rPr>
          <w:color w:val="FF0000"/>
        </w:rPr>
        <w:t xml:space="preserve"> </w:t>
      </w:r>
      <w:r w:rsidR="00FA5DCE" w:rsidRPr="006753A9">
        <w:t xml:space="preserve">commun aux maîtres d’ouvrage des travaux connexes à joindre </w:t>
      </w:r>
      <w:r w:rsidR="00FA5DCE" w:rsidRPr="006753A9">
        <w:rPr>
          <w:u w:val="single" w:color="000000"/>
        </w:rPr>
        <w:t>obligatoirement</w:t>
      </w:r>
      <w:r w:rsidR="00FA5DCE" w:rsidRPr="006753A9">
        <w:t xml:space="preserve"> au projet de marché ;</w:t>
      </w:r>
      <w:r w:rsidR="00FA5DCE" w:rsidRPr="006753A9">
        <w:rPr>
          <w:b/>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462841">
      <w:pPr>
        <w:numPr>
          <w:ilvl w:val="1"/>
          <w:numId w:val="4"/>
        </w:numPr>
        <w:ind w:right="0" w:hanging="182"/>
      </w:pPr>
      <w:proofErr w:type="gramStart"/>
      <w:r w:rsidRPr="006753A9">
        <w:rPr>
          <w:color w:val="auto"/>
        </w:rPr>
        <w:t>le</w:t>
      </w:r>
      <w:proofErr w:type="gramEnd"/>
      <w:r w:rsidR="00FA5DCE" w:rsidRPr="006753A9">
        <w:t xml:space="preserve"> programme de travaux et le bordereau des prix </w:t>
      </w:r>
      <w:r w:rsidR="00F15FCB" w:rsidRPr="006753A9">
        <w:rPr>
          <w:color w:val="auto"/>
        </w:rPr>
        <w:t xml:space="preserve">estimatif </w:t>
      </w:r>
      <w:r w:rsidR="00FA5DCE" w:rsidRPr="006753A9">
        <w:t xml:space="preserve">du projet de travaux connexes. Il précise les linéaires de voies ou chemins à réaliser ou à supprimer, de fossés à créer ou combler, de haies à araser ou à réaliser à plat ou sur talus, les surfaces à remettre en état de culture, le nombre d’ouvrages hydrauliques à réaliser. (Nota : les éléments fournis dans ce programme auront un niveau de définition « avant-projet »), propre à chaque maître d’ouvrage ; </w:t>
      </w:r>
    </w:p>
    <w:p w:rsidR="001278BC" w:rsidRPr="006753A9" w:rsidRDefault="00FA5DCE">
      <w:pPr>
        <w:spacing w:after="0" w:line="259" w:lineRule="auto"/>
        <w:ind w:left="720" w:right="0" w:firstLine="0"/>
        <w:jc w:val="left"/>
      </w:pPr>
      <w:r w:rsidRPr="006753A9">
        <w:t xml:space="preserve"> </w:t>
      </w:r>
    </w:p>
    <w:p w:rsidR="001278BC" w:rsidRPr="006753A9" w:rsidRDefault="00F15FCB">
      <w:pPr>
        <w:numPr>
          <w:ilvl w:val="1"/>
          <w:numId w:val="4"/>
        </w:numPr>
        <w:ind w:right="0" w:hanging="182"/>
      </w:pPr>
      <w:proofErr w:type="gramStart"/>
      <w:r w:rsidRPr="006753A9">
        <w:t>le</w:t>
      </w:r>
      <w:proofErr w:type="gramEnd"/>
      <w:r w:rsidRPr="006753A9">
        <w:t xml:space="preserve"> </w:t>
      </w:r>
      <w:r w:rsidR="00FA5DCE" w:rsidRPr="006753A9">
        <w:t xml:space="preserve">plan précisant les caractéristiques et la localisation précise des travaux, propre à chaque maître d’ouvrage ;  </w:t>
      </w:r>
    </w:p>
    <w:p w:rsidR="001278BC" w:rsidRPr="006753A9" w:rsidRDefault="00FA5DCE">
      <w:pPr>
        <w:spacing w:after="1" w:line="259" w:lineRule="auto"/>
        <w:ind w:left="720" w:right="0" w:firstLine="0"/>
        <w:jc w:val="left"/>
      </w:pPr>
      <w:r w:rsidRPr="006753A9">
        <w:t xml:space="preserve"> </w:t>
      </w:r>
    </w:p>
    <w:p w:rsidR="001278BC" w:rsidRPr="006753A9" w:rsidRDefault="00F15FCB">
      <w:pPr>
        <w:numPr>
          <w:ilvl w:val="1"/>
          <w:numId w:val="4"/>
        </w:numPr>
        <w:spacing w:after="26"/>
        <w:ind w:right="0" w:hanging="182"/>
      </w:pPr>
      <w:proofErr w:type="gramStart"/>
      <w:r w:rsidRPr="006753A9">
        <w:t>les</w:t>
      </w:r>
      <w:proofErr w:type="gramEnd"/>
      <w:r w:rsidRPr="006753A9">
        <w:t xml:space="preserve"> </w:t>
      </w:r>
      <w:r w:rsidR="00FA5DCE" w:rsidRPr="006753A9">
        <w:t xml:space="preserve">fiches travaux pour l’ensemble des travaux connexes, propre à chaque maître d’ouvrage. </w:t>
      </w:r>
    </w:p>
    <w:p w:rsidR="001278BC" w:rsidRPr="006753A9" w:rsidRDefault="00FA5DCE">
      <w:pPr>
        <w:spacing w:after="11" w:line="259" w:lineRule="auto"/>
        <w:ind w:left="0" w:right="0" w:firstLine="0"/>
        <w:jc w:val="left"/>
      </w:pPr>
      <w:r w:rsidRPr="006753A9">
        <w:t xml:space="preserve"> </w:t>
      </w:r>
    </w:p>
    <w:p w:rsidR="001278BC" w:rsidRPr="006753A9" w:rsidRDefault="00FA5DCE">
      <w:pPr>
        <w:pStyle w:val="Titre2"/>
        <w:ind w:left="-5"/>
        <w:rPr>
          <w:sz w:val="22"/>
        </w:rPr>
      </w:pPr>
      <w:r w:rsidRPr="006753A9">
        <w:rPr>
          <w:sz w:val="22"/>
        </w:rPr>
        <w:t xml:space="preserve">Article </w:t>
      </w:r>
      <w:r w:rsidR="00462841" w:rsidRPr="006753A9">
        <w:rPr>
          <w:sz w:val="22"/>
        </w:rPr>
        <w:t>3</w:t>
      </w:r>
      <w:r w:rsidRPr="006753A9">
        <w:rPr>
          <w:sz w:val="22"/>
        </w:rPr>
        <w:t>-2 Modalités d’obtention du dossier</w:t>
      </w:r>
      <w:r w:rsidRPr="006753A9">
        <w:rPr>
          <w:sz w:val="22"/>
          <w:u w:val="none"/>
        </w:rPr>
        <w:t xml:space="preserve"> </w:t>
      </w:r>
    </w:p>
    <w:p w:rsidR="001278BC" w:rsidRPr="006753A9" w:rsidRDefault="00FA5DCE">
      <w:pPr>
        <w:spacing w:after="14" w:line="259" w:lineRule="auto"/>
        <w:ind w:left="0" w:right="0" w:firstLine="0"/>
        <w:jc w:val="left"/>
      </w:pPr>
      <w:r w:rsidRPr="006753A9">
        <w:t xml:space="preserve"> </w:t>
      </w:r>
    </w:p>
    <w:p w:rsidR="001278BC" w:rsidRPr="006753A9" w:rsidRDefault="00FA5DCE">
      <w:pPr>
        <w:ind w:left="-5" w:right="0"/>
      </w:pPr>
      <w:r w:rsidRPr="006753A9">
        <w:t xml:space="preserve">L’obtention des dossiers pourra s’effectuer jusqu’à la date limite de remise des offres auprès de la commune de PIOLENC sur son site internet : </w:t>
      </w:r>
      <w:hyperlink r:id="rId7" w:history="1">
        <w:r w:rsidRPr="006753A9">
          <w:rPr>
            <w:rStyle w:val="Lienhypertexte"/>
          </w:rPr>
          <w:t>www.mairie-piolenc.fr</w:t>
        </w:r>
      </w:hyperlink>
      <w:r w:rsidRPr="006753A9">
        <w:t xml:space="preserve"> (onglet marchés publics)</w:t>
      </w:r>
    </w:p>
    <w:p w:rsidR="00FA5DCE" w:rsidRPr="006753A9" w:rsidRDefault="00FA5DCE">
      <w:pPr>
        <w:ind w:left="-5" w:right="0"/>
      </w:pPr>
    </w:p>
    <w:p w:rsidR="001278BC" w:rsidRPr="006753A9" w:rsidRDefault="00FA5DCE">
      <w:pPr>
        <w:ind w:left="-5" w:right="0"/>
      </w:pPr>
      <w:r w:rsidRPr="006753A9">
        <w:t xml:space="preserve">La demande de remise du Dossier de Consultation des Entreprises est à adresser : </w:t>
      </w:r>
    </w:p>
    <w:p w:rsidR="001278BC" w:rsidRPr="006753A9" w:rsidRDefault="00FA5DCE">
      <w:pPr>
        <w:spacing w:after="0" w:line="259" w:lineRule="auto"/>
        <w:ind w:left="0" w:right="0" w:firstLine="0"/>
        <w:jc w:val="left"/>
      </w:pPr>
      <w:r w:rsidRPr="006753A9">
        <w:t xml:space="preserve"> </w:t>
      </w:r>
    </w:p>
    <w:p w:rsidR="001278BC" w:rsidRPr="006753A9" w:rsidRDefault="00FA5DCE">
      <w:pPr>
        <w:numPr>
          <w:ilvl w:val="0"/>
          <w:numId w:val="5"/>
        </w:numPr>
        <w:ind w:right="0" w:hanging="360"/>
      </w:pPr>
      <w:proofErr w:type="gramStart"/>
      <w:r w:rsidRPr="006753A9">
        <w:t>par</w:t>
      </w:r>
      <w:proofErr w:type="gramEnd"/>
      <w:r w:rsidRPr="006753A9">
        <w:t xml:space="preserve"> </w:t>
      </w:r>
      <w:proofErr w:type="spellStart"/>
      <w:r w:rsidRPr="006753A9">
        <w:rPr>
          <w:b/>
        </w:rPr>
        <w:t>e mail</w:t>
      </w:r>
      <w:proofErr w:type="spellEnd"/>
      <w:r w:rsidRPr="006753A9">
        <w:rPr>
          <w:b/>
        </w:rPr>
        <w:t xml:space="preserve"> </w:t>
      </w:r>
      <w:r w:rsidRPr="006753A9">
        <w:t>à l’adresse suivante : contact@mairie-piolenc.fr</w:t>
      </w:r>
    </w:p>
    <w:p w:rsidR="001278BC" w:rsidRPr="006753A9" w:rsidRDefault="00FA5DCE">
      <w:pPr>
        <w:numPr>
          <w:ilvl w:val="0"/>
          <w:numId w:val="5"/>
        </w:numPr>
        <w:ind w:right="0" w:hanging="360"/>
      </w:pPr>
      <w:proofErr w:type="gramStart"/>
      <w:r w:rsidRPr="006753A9">
        <w:t>par</w:t>
      </w:r>
      <w:proofErr w:type="gramEnd"/>
      <w:r w:rsidRPr="006753A9">
        <w:t xml:space="preserve"> </w:t>
      </w:r>
      <w:r w:rsidRPr="006753A9">
        <w:rPr>
          <w:b/>
        </w:rPr>
        <w:t xml:space="preserve">courrier </w:t>
      </w:r>
      <w:r w:rsidRPr="006753A9">
        <w:t xml:space="preserve">à la Mairie de Piolenc / 6 Rue Jean Moulin BP 1 / 84 420 PIOLENC, </w:t>
      </w:r>
    </w:p>
    <w:p w:rsidR="001278BC" w:rsidRPr="006753A9" w:rsidRDefault="00FA5DCE">
      <w:pPr>
        <w:numPr>
          <w:ilvl w:val="0"/>
          <w:numId w:val="5"/>
        </w:numPr>
        <w:ind w:right="0" w:hanging="360"/>
      </w:pPr>
      <w:proofErr w:type="gramStart"/>
      <w:r w:rsidRPr="006753A9">
        <w:t>par</w:t>
      </w:r>
      <w:proofErr w:type="gramEnd"/>
      <w:r w:rsidRPr="006753A9">
        <w:t xml:space="preserve"> </w:t>
      </w:r>
      <w:r w:rsidRPr="006753A9">
        <w:rPr>
          <w:b/>
        </w:rPr>
        <w:t>retrait</w:t>
      </w:r>
      <w:r w:rsidRPr="006753A9">
        <w:t xml:space="preserve"> à la Mairie de PIOLENC / 6 Rue Jean Moulin BP 1 – 84 420 PIOLENC, Horaires d’ouverture : Du lundi au vendredi de 8h00 à 12h00 et de 14h00 à 18h00, sauf jours fériés. </w:t>
      </w:r>
    </w:p>
    <w:p w:rsidR="001278BC" w:rsidRPr="006753A9" w:rsidRDefault="00FA5DCE">
      <w:pPr>
        <w:spacing w:after="0" w:line="259" w:lineRule="auto"/>
        <w:ind w:left="720" w:right="0" w:firstLine="0"/>
        <w:jc w:val="left"/>
      </w:pPr>
      <w:r w:rsidRPr="006753A9">
        <w:t xml:space="preserve"> </w:t>
      </w:r>
    </w:p>
    <w:p w:rsidR="001278BC" w:rsidRPr="006753A9" w:rsidRDefault="00FA5DCE">
      <w:pPr>
        <w:ind w:left="-5" w:right="0"/>
      </w:pPr>
      <w:r w:rsidRPr="006753A9">
        <w:lastRenderedPageBreak/>
        <w:t xml:space="preserve">En application de l'article 56 du code des marchés publics, en complément aux modalités classiques de déroulement de la consultation, les candidats auront la possibilité de </w:t>
      </w:r>
      <w:r w:rsidRPr="006753A9">
        <w:rPr>
          <w:b/>
        </w:rPr>
        <w:t>télécharger le Dossier de Consultation des Entreprises</w:t>
      </w:r>
      <w:r w:rsidRPr="006753A9">
        <w:t xml:space="preserve"> dans son intégralité, ainsi que l'avis d'appel public à la concurrence via la plateforme de dématérialisation</w:t>
      </w:r>
      <w:hyperlink r:id="rId8">
        <w:r w:rsidRPr="006753A9">
          <w:t xml:space="preserve"> </w:t>
        </w:r>
      </w:hyperlink>
      <w:r w:rsidRPr="006753A9">
        <w:t>www.mairie-piolenc.fr</w:t>
      </w:r>
    </w:p>
    <w:p w:rsidR="001278BC" w:rsidRPr="006753A9" w:rsidRDefault="00FA5DCE">
      <w:pPr>
        <w:spacing w:after="0" w:line="259" w:lineRule="auto"/>
        <w:ind w:left="0" w:right="0" w:firstLine="0"/>
        <w:jc w:val="left"/>
      </w:pPr>
      <w:r w:rsidRPr="006753A9">
        <w:t xml:space="preserve"> </w:t>
      </w:r>
    </w:p>
    <w:p w:rsidR="001278BC" w:rsidRPr="006753A9" w:rsidRDefault="00FA5DCE">
      <w:pPr>
        <w:tabs>
          <w:tab w:val="center" w:pos="2042"/>
        </w:tabs>
        <w:ind w:left="-15" w:right="0" w:firstLine="0"/>
        <w:jc w:val="left"/>
      </w:pPr>
      <w:r w:rsidRPr="006753A9">
        <w:t xml:space="preserve"> </w:t>
      </w:r>
      <w:r w:rsidRPr="006753A9">
        <w:tab/>
        <w:t xml:space="preserve">De plus, il est précisé que : </w:t>
      </w:r>
    </w:p>
    <w:p w:rsidR="001278BC" w:rsidRPr="006753A9" w:rsidRDefault="00FA5DCE">
      <w:pPr>
        <w:spacing w:after="0" w:line="259" w:lineRule="auto"/>
        <w:ind w:left="0" w:right="0" w:firstLine="0"/>
        <w:jc w:val="left"/>
      </w:pPr>
      <w:r w:rsidRPr="006753A9">
        <w:t xml:space="preserve"> </w:t>
      </w:r>
    </w:p>
    <w:p w:rsidR="001278BC" w:rsidRPr="006753A9" w:rsidRDefault="00FA5DCE">
      <w:pPr>
        <w:numPr>
          <w:ilvl w:val="0"/>
          <w:numId w:val="5"/>
        </w:numPr>
        <w:ind w:right="0" w:hanging="360"/>
      </w:pPr>
      <w:proofErr w:type="gramStart"/>
      <w:r w:rsidRPr="006753A9">
        <w:t>les</w:t>
      </w:r>
      <w:proofErr w:type="gramEnd"/>
      <w:r w:rsidRPr="006753A9">
        <w:t xml:space="preserve"> documents électroniques ont des contenus strictement identiques aux documents papiers diffusés dans le même cadre, </w:t>
      </w:r>
    </w:p>
    <w:p w:rsidR="001278BC" w:rsidRPr="006753A9" w:rsidRDefault="00FA5DCE">
      <w:pPr>
        <w:spacing w:after="0" w:line="259" w:lineRule="auto"/>
        <w:ind w:left="360" w:right="0" w:firstLine="0"/>
        <w:jc w:val="left"/>
      </w:pPr>
      <w:r w:rsidRPr="006753A9">
        <w:t xml:space="preserve"> </w:t>
      </w:r>
    </w:p>
    <w:p w:rsidR="001278BC" w:rsidRPr="006753A9" w:rsidRDefault="00FA5DCE">
      <w:pPr>
        <w:numPr>
          <w:ilvl w:val="0"/>
          <w:numId w:val="5"/>
        </w:numPr>
        <w:ind w:right="0" w:hanging="360"/>
      </w:pPr>
      <w:proofErr w:type="gramStart"/>
      <w:r w:rsidRPr="006753A9">
        <w:t>le</w:t>
      </w:r>
      <w:proofErr w:type="gramEnd"/>
      <w:r w:rsidRPr="006753A9">
        <w:t xml:space="preserve"> retrait des documents électroniques n'oblige pas le soumissionnaire à déposer électroniquement son offre, et inversement.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2"/>
        <w:ind w:left="-5"/>
        <w:rPr>
          <w:sz w:val="22"/>
        </w:rPr>
      </w:pPr>
      <w:r w:rsidRPr="006753A9">
        <w:rPr>
          <w:sz w:val="22"/>
        </w:rPr>
        <w:t xml:space="preserve">Article </w:t>
      </w:r>
      <w:r w:rsidR="00462841" w:rsidRPr="006753A9">
        <w:rPr>
          <w:sz w:val="22"/>
        </w:rPr>
        <w:t>3</w:t>
      </w:r>
      <w:r w:rsidRPr="006753A9">
        <w:rPr>
          <w:sz w:val="22"/>
        </w:rPr>
        <w:t>-3 Modification de détail au dossier de consultation</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Le</w:t>
      </w:r>
      <w:r w:rsidR="006437D2" w:rsidRPr="006753A9">
        <w:t>s</w:t>
      </w:r>
      <w:r w:rsidRPr="006753A9">
        <w:t xml:space="preserve"> pouvoir</w:t>
      </w:r>
      <w:r w:rsidR="006437D2" w:rsidRPr="006753A9">
        <w:t>s</w:t>
      </w:r>
      <w:r w:rsidRPr="006753A9">
        <w:t xml:space="preserve"> adjudicateur</w:t>
      </w:r>
      <w:r w:rsidR="006437D2" w:rsidRPr="006753A9">
        <w:t>s</w:t>
      </w:r>
      <w:r w:rsidRPr="006753A9">
        <w:t xml:space="preserve"> se réserve</w:t>
      </w:r>
      <w:r w:rsidR="006437D2" w:rsidRPr="006753A9">
        <w:t>nt</w:t>
      </w:r>
      <w:r w:rsidRPr="006753A9">
        <w:t xml:space="preserve"> le droit d'envoyer au plus tard 15 jours avant la date limite de remise des offres des modifications de détail sur le Dossier de Consultation des Entreprises. </w:t>
      </w:r>
    </w:p>
    <w:p w:rsidR="001278BC" w:rsidRPr="006753A9" w:rsidRDefault="00FA5DCE">
      <w:pPr>
        <w:spacing w:after="0" w:line="259" w:lineRule="auto"/>
        <w:ind w:left="708" w:right="0" w:firstLine="0"/>
        <w:jc w:val="left"/>
      </w:pPr>
      <w:r w:rsidRPr="006753A9">
        <w:t xml:space="preserve"> </w:t>
      </w:r>
    </w:p>
    <w:p w:rsidR="001278BC" w:rsidRPr="006753A9" w:rsidRDefault="00FA5DCE">
      <w:pPr>
        <w:ind w:left="-5" w:right="0"/>
      </w:pPr>
      <w:r w:rsidRPr="006753A9">
        <w:t xml:space="preserve">Les candidats devront alors répondre sur la base du dossier de consultation modifié. </w:t>
      </w: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pStyle w:val="Titre1"/>
        <w:ind w:left="-5"/>
        <w:rPr>
          <w:sz w:val="22"/>
        </w:rPr>
      </w:pPr>
      <w:r w:rsidRPr="006753A9">
        <w:rPr>
          <w:sz w:val="22"/>
        </w:rPr>
        <w:t xml:space="preserve">Article </w:t>
      </w:r>
      <w:r w:rsidR="00462841" w:rsidRPr="006753A9">
        <w:rPr>
          <w:sz w:val="22"/>
        </w:rPr>
        <w:t>4</w:t>
      </w:r>
      <w:r w:rsidRPr="006753A9">
        <w:rPr>
          <w:sz w:val="22"/>
        </w:rPr>
        <w:t xml:space="preserve"> : Présentation des propositions </w:t>
      </w: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2"/>
        <w:ind w:left="-5"/>
        <w:rPr>
          <w:sz w:val="22"/>
          <w:u w:val="none"/>
        </w:rPr>
      </w:pPr>
      <w:r w:rsidRPr="006753A9">
        <w:rPr>
          <w:sz w:val="22"/>
        </w:rPr>
        <w:t xml:space="preserve">Article </w:t>
      </w:r>
      <w:r w:rsidR="00462841" w:rsidRPr="006753A9">
        <w:rPr>
          <w:sz w:val="22"/>
        </w:rPr>
        <w:t>4</w:t>
      </w:r>
      <w:r w:rsidRPr="006753A9">
        <w:rPr>
          <w:sz w:val="22"/>
        </w:rPr>
        <w:t>-1 Documents à produire</w:t>
      </w:r>
      <w:r w:rsidRPr="006753A9">
        <w:rPr>
          <w:sz w:val="22"/>
          <w:u w:val="none"/>
        </w:rPr>
        <w:t xml:space="preserve"> </w:t>
      </w:r>
    </w:p>
    <w:p w:rsidR="00271CDF" w:rsidRPr="006753A9" w:rsidRDefault="00271CDF" w:rsidP="00271CDF"/>
    <w:p w:rsidR="00271CDF" w:rsidRPr="006753A9" w:rsidRDefault="00271CDF" w:rsidP="00462841">
      <w:pPr>
        <w:pStyle w:val="Normal1"/>
        <w:ind w:firstLine="0"/>
        <w:rPr>
          <w:rFonts w:ascii="Arial" w:hAnsi="Arial" w:cs="Arial"/>
          <w:szCs w:val="22"/>
        </w:rPr>
      </w:pPr>
      <w:r w:rsidRPr="006753A9">
        <w:rPr>
          <w:rFonts w:ascii="Arial" w:hAnsi="Arial" w:cs="Arial"/>
          <w:szCs w:val="22"/>
        </w:rPr>
        <w:tab/>
        <w:t>Les offres des soumissionnaires seront entièrement rédigées en langue française et exprimées en EURO.</w:t>
      </w:r>
    </w:p>
    <w:p w:rsidR="00271CDF" w:rsidRPr="006753A9" w:rsidRDefault="00271CDF" w:rsidP="00462841">
      <w:pPr>
        <w:pStyle w:val="Normal1"/>
        <w:ind w:firstLine="0"/>
        <w:rPr>
          <w:rFonts w:ascii="Arial" w:hAnsi="Arial" w:cs="Arial"/>
          <w:szCs w:val="22"/>
        </w:rPr>
      </w:pPr>
      <w:r w:rsidRPr="006753A9">
        <w:rPr>
          <w:rFonts w:ascii="Arial" w:hAnsi="Arial" w:cs="Arial"/>
          <w:szCs w:val="22"/>
        </w:rPr>
        <w:t xml:space="preserve">Si les offres des soumissionnaires sont rédigées dans une autre langue, elles doivent être accompagnées d’une traduction en </w:t>
      </w:r>
      <w:proofErr w:type="gramStart"/>
      <w:r w:rsidRPr="006753A9">
        <w:rPr>
          <w:rFonts w:ascii="Arial" w:hAnsi="Arial" w:cs="Arial"/>
          <w:szCs w:val="22"/>
        </w:rPr>
        <w:t>français;</w:t>
      </w:r>
      <w:proofErr w:type="gramEnd"/>
      <w:r w:rsidRPr="006753A9">
        <w:rPr>
          <w:rFonts w:ascii="Arial" w:hAnsi="Arial" w:cs="Arial"/>
          <w:szCs w:val="22"/>
        </w:rPr>
        <w:t xml:space="preserve"> cette traduction doit concerner l’ensemble des documents remis dans l’offre.</w:t>
      </w:r>
    </w:p>
    <w:p w:rsidR="00271CDF" w:rsidRPr="006753A9" w:rsidRDefault="00271CDF" w:rsidP="00462841">
      <w:pPr>
        <w:keepNext/>
        <w:spacing w:before="240" w:after="60"/>
        <w:outlineLvl w:val="1"/>
        <w:rPr>
          <w:i/>
          <w:color w:val="auto"/>
          <w:u w:val="single"/>
        </w:rPr>
      </w:pPr>
      <w:bookmarkStart w:id="0" w:name="_Toc480437898"/>
      <w:r w:rsidRPr="006753A9">
        <w:rPr>
          <w:i/>
          <w:color w:val="auto"/>
          <w:u w:val="single"/>
        </w:rPr>
        <w:t>Documents à produire</w:t>
      </w:r>
      <w:bookmarkEnd w:id="0"/>
    </w:p>
    <w:p w:rsidR="00271CDF" w:rsidRPr="006753A9" w:rsidRDefault="00271CDF" w:rsidP="00462841">
      <w:pPr>
        <w:autoSpaceDE w:val="0"/>
        <w:autoSpaceDN w:val="0"/>
        <w:adjustRightInd w:val="0"/>
        <w:rPr>
          <w:color w:val="auto"/>
        </w:rPr>
      </w:pPr>
      <w:r w:rsidRPr="006753A9">
        <w:rPr>
          <w:color w:val="auto"/>
        </w:rPr>
        <w:t xml:space="preserve">Chaque candidat aura à produire un dossier complet comprenant les pièces suivantes. Il peut également utiliser les formulaires DC1 (lettre de candidature) et DC2 (déclaration du candidat) ou le Document Unique de Marché Européen (DUME) pour présenter sa candidature. Ces documents sont disponibles gratuitement sur le site </w:t>
      </w:r>
      <w:hyperlink r:id="rId9" w:history="1">
        <w:r w:rsidRPr="006753A9">
          <w:rPr>
            <w:color w:val="auto"/>
            <w:u w:val="single"/>
          </w:rPr>
          <w:t>www.economie.gouv.fr/daj</w:t>
        </w:r>
      </w:hyperlink>
      <w:r w:rsidRPr="006753A9">
        <w:rPr>
          <w:color w:val="auto"/>
        </w:rPr>
        <w:t>. Les candidats sont invités à vérifier à chaque nouvelle consultation qu'ils utilisent les formulaires à jour.</w:t>
      </w:r>
    </w:p>
    <w:p w:rsidR="00271CDF" w:rsidRPr="006753A9" w:rsidRDefault="00271CDF" w:rsidP="00462841">
      <w:pPr>
        <w:keepLines/>
        <w:tabs>
          <w:tab w:val="left" w:pos="567"/>
          <w:tab w:val="left" w:pos="851"/>
          <w:tab w:val="left" w:pos="1134"/>
        </w:tabs>
        <w:rPr>
          <w:color w:val="auto"/>
        </w:rPr>
      </w:pPr>
    </w:p>
    <w:p w:rsidR="00271CDF" w:rsidRPr="006753A9" w:rsidRDefault="00271CDF" w:rsidP="00462841">
      <w:pPr>
        <w:keepLines/>
        <w:tabs>
          <w:tab w:val="left" w:pos="567"/>
          <w:tab w:val="left" w:pos="851"/>
          <w:tab w:val="left" w:pos="1134"/>
        </w:tabs>
        <w:rPr>
          <w:color w:val="auto"/>
        </w:rPr>
      </w:pPr>
      <w:r w:rsidRPr="006753A9">
        <w:rPr>
          <w:b/>
          <w:color w:val="auto"/>
          <w:u w:val="single"/>
        </w:rPr>
        <w:t xml:space="preserve">Pièces de la candidature : </w:t>
      </w:r>
    </w:p>
    <w:p w:rsidR="00271CDF" w:rsidRPr="006753A9" w:rsidRDefault="00271CDF" w:rsidP="00462841">
      <w:pPr>
        <w:keepLines/>
        <w:tabs>
          <w:tab w:val="left" w:pos="567"/>
          <w:tab w:val="left" w:pos="851"/>
          <w:tab w:val="left" w:pos="1134"/>
        </w:tabs>
        <w:rPr>
          <w:color w:val="auto"/>
        </w:rPr>
      </w:pPr>
    </w:p>
    <w:p w:rsidR="00271CDF" w:rsidRPr="006753A9" w:rsidRDefault="00271CDF" w:rsidP="00462841">
      <w:pPr>
        <w:autoSpaceDE w:val="0"/>
        <w:autoSpaceDN w:val="0"/>
        <w:adjustRightInd w:val="0"/>
        <w:rPr>
          <w:b/>
          <w:color w:val="auto"/>
        </w:rPr>
      </w:pPr>
      <w:r w:rsidRPr="006753A9">
        <w:rPr>
          <w:b/>
          <w:color w:val="auto"/>
        </w:rPr>
        <w:t xml:space="preserve">Les renseignements concernant la situation juridique de l’entreprise tels que prévus à l’article 48 du Décret nº2016-360 du 25 mars 2016 : </w:t>
      </w:r>
    </w:p>
    <w:p w:rsidR="00271CDF" w:rsidRPr="006753A9" w:rsidRDefault="00271CDF" w:rsidP="00462841">
      <w:pPr>
        <w:keepLines/>
        <w:numPr>
          <w:ilvl w:val="0"/>
          <w:numId w:val="14"/>
        </w:numPr>
        <w:tabs>
          <w:tab w:val="left" w:pos="567"/>
          <w:tab w:val="left" w:pos="851"/>
          <w:tab w:val="left" w:pos="1134"/>
        </w:tabs>
        <w:spacing w:after="0" w:line="240" w:lineRule="auto"/>
        <w:ind w:left="0" w:right="0" w:firstLine="0"/>
        <w:rPr>
          <w:color w:val="auto"/>
        </w:rPr>
      </w:pPr>
      <w:r w:rsidRPr="006753A9">
        <w:rPr>
          <w:color w:val="auto"/>
        </w:rPr>
        <w:t xml:space="preserve">Lettre de candidature </w:t>
      </w:r>
    </w:p>
    <w:p w:rsidR="00271CDF" w:rsidRPr="006753A9" w:rsidRDefault="00271CDF" w:rsidP="00462841">
      <w:pPr>
        <w:keepLines/>
        <w:numPr>
          <w:ilvl w:val="0"/>
          <w:numId w:val="14"/>
        </w:numPr>
        <w:tabs>
          <w:tab w:val="left" w:pos="567"/>
          <w:tab w:val="left" w:pos="851"/>
          <w:tab w:val="left" w:pos="1134"/>
        </w:tabs>
        <w:spacing w:after="0" w:line="240" w:lineRule="auto"/>
        <w:ind w:left="0" w:right="0" w:firstLine="0"/>
        <w:rPr>
          <w:color w:val="auto"/>
        </w:rPr>
      </w:pPr>
      <w:r w:rsidRPr="006753A9">
        <w:rPr>
          <w:color w:val="auto"/>
        </w:rPr>
        <w:t>Déclaration sur l’honneur pour justifier que le candidat n’entre dans aucun des cas des interdictions mentionnés aux articles 45 et 48 de l'Ordonnance 2015-899 du 23 juillet 2015 relative aux marchés publics et notamment qu’il est en règle au regard des articles L.5212-1 à L.5212-11 du code du travail concernant l’emploi des travailleurs handicapés</w:t>
      </w:r>
    </w:p>
    <w:p w:rsidR="00271CDF" w:rsidRPr="006753A9" w:rsidRDefault="00271CDF" w:rsidP="00462841">
      <w:pPr>
        <w:autoSpaceDE w:val="0"/>
        <w:autoSpaceDN w:val="0"/>
        <w:adjustRightInd w:val="0"/>
        <w:rPr>
          <w:b/>
          <w:color w:val="auto"/>
        </w:rPr>
      </w:pPr>
    </w:p>
    <w:p w:rsidR="00271CDF" w:rsidRPr="006753A9" w:rsidRDefault="00271CDF" w:rsidP="00462841">
      <w:pPr>
        <w:keepLines/>
        <w:tabs>
          <w:tab w:val="left" w:pos="567"/>
          <w:tab w:val="left" w:pos="851"/>
          <w:tab w:val="left" w:pos="1134"/>
        </w:tabs>
        <w:rPr>
          <w:b/>
          <w:color w:val="auto"/>
        </w:rPr>
      </w:pPr>
      <w:r w:rsidRPr="006753A9">
        <w:rPr>
          <w:b/>
          <w:color w:val="auto"/>
        </w:rPr>
        <w:t>Les renseignements concernant la capacité économique et financière de l’entreprise tels que prévus à l’article 44 du Décret nº2016-360 du 25 mars 2016 :</w:t>
      </w:r>
    </w:p>
    <w:p w:rsidR="00271CDF" w:rsidRPr="006753A9" w:rsidRDefault="00271CDF" w:rsidP="00462841">
      <w:pPr>
        <w:numPr>
          <w:ilvl w:val="0"/>
          <w:numId w:val="15"/>
        </w:numPr>
        <w:spacing w:after="0" w:line="240" w:lineRule="auto"/>
        <w:ind w:right="0"/>
        <w:contextualSpacing/>
        <w:rPr>
          <w:color w:val="auto"/>
        </w:rPr>
      </w:pPr>
      <w:r w:rsidRPr="006753A9">
        <w:rPr>
          <w:color w:val="auto"/>
        </w:rPr>
        <w:t xml:space="preserve">Déclaration concernant le chiffre d'affaires global du candidat et, le cas échéant, le chiffre d'affaires du domaine d'activité faisant l'objet du marché public, portant au maximum sur les trois </w:t>
      </w:r>
      <w:r w:rsidRPr="006753A9">
        <w:rPr>
          <w:color w:val="auto"/>
        </w:rPr>
        <w:lastRenderedPageBreak/>
        <w:t xml:space="preserve">derniers exercices disponibles en fonction de la date de création de l'entreprise ou du début d'activité de l'opérateur économique, dans la mesure où les informations sur ces chiffres d'affaires sont </w:t>
      </w:r>
      <w:proofErr w:type="gramStart"/>
      <w:r w:rsidRPr="006753A9">
        <w:rPr>
          <w:color w:val="auto"/>
        </w:rPr>
        <w:t>disponibles;</w:t>
      </w:r>
      <w:proofErr w:type="gramEnd"/>
    </w:p>
    <w:p w:rsidR="00271CDF" w:rsidRPr="006753A9" w:rsidRDefault="00271CDF" w:rsidP="00462841">
      <w:pPr>
        <w:ind w:left="284"/>
        <w:contextualSpacing/>
        <w:rPr>
          <w:color w:val="auto"/>
        </w:rPr>
      </w:pPr>
    </w:p>
    <w:p w:rsidR="00271CDF" w:rsidRPr="006753A9" w:rsidRDefault="00271CDF" w:rsidP="00462841">
      <w:pPr>
        <w:ind w:left="284"/>
        <w:contextualSpacing/>
        <w:rPr>
          <w:color w:val="auto"/>
        </w:rPr>
      </w:pPr>
      <w:r w:rsidRPr="006753A9">
        <w:rPr>
          <w:color w:val="auto"/>
        </w:rPr>
        <w:t>Si pour une raison justifiée, l’opérateur économique n’est pas en mesure de produire les renseignements et documents demandés par le pouvoir adjudicateur, il est autorisé à prouver sa capacité économique et financière par tout autre moyen considéré comme approprié par le pouvoir adjudicateur (notamment par exemple, déclaration appropriée de banque dont la forme est laissée à la discrétion de l’établissement de crédit) permettant de vérifier la crédibilité financière du candidat et sa capacité à mener à bien le marché pour lequel il soumissionne.</w:t>
      </w:r>
    </w:p>
    <w:p w:rsidR="00271CDF" w:rsidRPr="006753A9" w:rsidRDefault="00271CDF" w:rsidP="00271CDF">
      <w:pPr>
        <w:keepLines/>
        <w:tabs>
          <w:tab w:val="left" w:pos="567"/>
          <w:tab w:val="left" w:pos="851"/>
          <w:tab w:val="left" w:pos="1134"/>
        </w:tabs>
        <w:rPr>
          <w:color w:val="FF0000"/>
        </w:rPr>
      </w:pPr>
    </w:p>
    <w:p w:rsidR="00271CDF" w:rsidRDefault="00271CDF" w:rsidP="006753A9">
      <w:pPr>
        <w:pStyle w:val="Normal1"/>
        <w:ind w:firstLine="0"/>
        <w:rPr>
          <w:rFonts w:ascii="Arial" w:hAnsi="Arial" w:cs="Arial"/>
          <w:b/>
          <w:szCs w:val="22"/>
        </w:rPr>
      </w:pPr>
      <w:r w:rsidRPr="006753A9">
        <w:rPr>
          <w:rFonts w:ascii="Arial" w:hAnsi="Arial" w:cs="Arial"/>
          <w:b/>
          <w:szCs w:val="22"/>
        </w:rPr>
        <w:t>Les renseignements concernant les Capacités techniques et professionnelles de l’entreprise tels que prévus à l’article 44 du Décret nº2016-360 du 25 mars 2016 :</w:t>
      </w:r>
    </w:p>
    <w:p w:rsidR="00101A97" w:rsidRPr="006753A9" w:rsidRDefault="00101A97" w:rsidP="006753A9">
      <w:pPr>
        <w:pStyle w:val="Normal1"/>
        <w:ind w:firstLine="0"/>
        <w:rPr>
          <w:rFonts w:ascii="Arial" w:hAnsi="Arial" w:cs="Arial"/>
          <w:b/>
          <w:szCs w:val="22"/>
        </w:rPr>
      </w:pPr>
    </w:p>
    <w:p w:rsidR="00271CDF" w:rsidRDefault="00271CDF" w:rsidP="00101A97">
      <w:pPr>
        <w:pStyle w:val="Paragraphedeliste"/>
        <w:spacing w:after="0" w:line="240" w:lineRule="auto"/>
        <w:ind w:left="0"/>
        <w:jc w:val="both"/>
        <w:rPr>
          <w:rFonts w:ascii="Arial" w:eastAsia="Times New Roman" w:hAnsi="Arial" w:cs="Arial"/>
          <w:lang w:eastAsia="fr-FR"/>
        </w:rPr>
      </w:pPr>
      <w:r w:rsidRPr="006753A9">
        <w:rPr>
          <w:rFonts w:ascii="Arial" w:eastAsia="Times New Roman" w:hAnsi="Arial" w:cs="Arial"/>
          <w:lang w:eastAsia="fr-FR"/>
        </w:rPr>
        <w:t>1° Une liste des prestations exécutées au cours des cinq dernières années, assortie d'attestations de bonne exécution pour les prestations les plus importantes. Le cas échéant, afin de garantir un niveau de concurrence suffisant, l'acheteur peut indiquer que les éléments de preuve relatifs à des prestations exécutées il y a plus de cinq ans seront pris en compte. Ces attestations indiquent le montant, la date et le lieu d'exécution des prestations et précisent si elles ont été effectuées selon les règles de l'art et menés régulièrement à bonne fin. Il est à noter que les références doivent montrer que les candidats disposent effectivement des expériences nécessaires à la résolution d'un problème posé. A une "quantité" de références, on préférera en effet une "qualité" que devra souligner le candidat</w:t>
      </w:r>
      <w:r w:rsidR="00101A97">
        <w:rPr>
          <w:rFonts w:ascii="Arial" w:eastAsia="Times New Roman" w:hAnsi="Arial" w:cs="Arial"/>
          <w:lang w:eastAsia="fr-FR"/>
        </w:rPr>
        <w:t> ;</w:t>
      </w:r>
    </w:p>
    <w:p w:rsidR="00101A97" w:rsidRPr="006753A9" w:rsidRDefault="00101A97" w:rsidP="00101A97">
      <w:pPr>
        <w:pStyle w:val="Paragraphedeliste"/>
        <w:spacing w:after="0" w:line="240" w:lineRule="auto"/>
        <w:ind w:left="0"/>
        <w:jc w:val="both"/>
        <w:rPr>
          <w:rFonts w:ascii="Arial" w:eastAsia="Times New Roman" w:hAnsi="Arial" w:cs="Arial"/>
          <w:lang w:eastAsia="fr-FR"/>
        </w:rPr>
      </w:pPr>
    </w:p>
    <w:p w:rsidR="00271CDF" w:rsidRDefault="00271CDF" w:rsidP="00101A97">
      <w:pPr>
        <w:pStyle w:val="Paragraphedeliste"/>
        <w:spacing w:after="0" w:line="240" w:lineRule="auto"/>
        <w:ind w:left="0"/>
        <w:jc w:val="both"/>
        <w:rPr>
          <w:rFonts w:ascii="Arial" w:eastAsia="Times New Roman" w:hAnsi="Arial" w:cs="Arial"/>
          <w:lang w:eastAsia="fr-FR"/>
        </w:rPr>
      </w:pPr>
      <w:bookmarkStart w:id="1" w:name="_Hlk513628221"/>
      <w:r w:rsidRPr="006753A9">
        <w:rPr>
          <w:rFonts w:ascii="Arial" w:eastAsia="Times New Roman" w:hAnsi="Arial" w:cs="Arial"/>
          <w:lang w:eastAsia="fr-FR"/>
        </w:rPr>
        <w:t xml:space="preserve">2° </w:t>
      </w:r>
      <w:bookmarkEnd w:id="1"/>
      <w:r w:rsidRPr="006753A9">
        <w:rPr>
          <w:rFonts w:ascii="Arial" w:eastAsia="Times New Roman" w:hAnsi="Arial" w:cs="Arial"/>
          <w:lang w:eastAsia="fr-FR"/>
        </w:rPr>
        <w:t>Une déclaration indiquant les effectifs moyens annuels du candidat et l'importance du personnel d'encadrement pendant les trois dernières années ;</w:t>
      </w:r>
    </w:p>
    <w:p w:rsidR="00101A97" w:rsidRPr="006753A9" w:rsidRDefault="00101A97" w:rsidP="00101A97">
      <w:pPr>
        <w:pStyle w:val="Paragraphedeliste"/>
        <w:spacing w:after="0" w:line="240" w:lineRule="auto"/>
        <w:ind w:left="0"/>
        <w:jc w:val="both"/>
        <w:rPr>
          <w:rFonts w:ascii="Arial" w:eastAsia="Times New Roman" w:hAnsi="Arial" w:cs="Arial"/>
          <w:lang w:eastAsia="fr-FR"/>
        </w:rPr>
      </w:pPr>
    </w:p>
    <w:p w:rsidR="00271CDF" w:rsidRDefault="00271CDF" w:rsidP="00101A97">
      <w:pPr>
        <w:pStyle w:val="Paragraphedeliste"/>
        <w:spacing w:after="0" w:line="240" w:lineRule="auto"/>
        <w:ind w:left="0"/>
        <w:jc w:val="both"/>
        <w:rPr>
          <w:rFonts w:ascii="Arial" w:eastAsia="Times New Roman" w:hAnsi="Arial" w:cs="Arial"/>
          <w:lang w:eastAsia="fr-FR"/>
        </w:rPr>
      </w:pPr>
      <w:r w:rsidRPr="006753A9">
        <w:rPr>
          <w:rFonts w:ascii="Arial" w:eastAsia="Times New Roman" w:hAnsi="Arial" w:cs="Arial"/>
          <w:lang w:eastAsia="fr-FR"/>
        </w:rPr>
        <w:t>3° Indication des titres d'études et professionnels du candidat ou des cadres de l'entreprise, et notamment des responsables de prestation de services ou de conduite des travaux de même nature que celle du marché public ;</w:t>
      </w:r>
    </w:p>
    <w:p w:rsidR="00101A97" w:rsidRPr="006753A9" w:rsidRDefault="00101A97" w:rsidP="00101A97">
      <w:pPr>
        <w:pStyle w:val="Paragraphedeliste"/>
        <w:spacing w:after="0" w:line="240" w:lineRule="auto"/>
        <w:ind w:left="0"/>
        <w:jc w:val="both"/>
        <w:rPr>
          <w:rFonts w:ascii="Arial" w:eastAsia="Times New Roman" w:hAnsi="Arial" w:cs="Arial"/>
          <w:lang w:eastAsia="fr-FR"/>
        </w:rPr>
      </w:pPr>
    </w:p>
    <w:p w:rsidR="00271CDF" w:rsidRDefault="00271CDF" w:rsidP="00101A97">
      <w:pPr>
        <w:pStyle w:val="Paragraphedeliste"/>
        <w:spacing w:after="0" w:line="240" w:lineRule="auto"/>
        <w:ind w:left="0"/>
        <w:jc w:val="both"/>
        <w:rPr>
          <w:rFonts w:ascii="Arial" w:eastAsia="Times New Roman" w:hAnsi="Arial" w:cs="Arial"/>
          <w:lang w:eastAsia="fr-FR"/>
        </w:rPr>
      </w:pPr>
      <w:r w:rsidRPr="006753A9">
        <w:rPr>
          <w:rFonts w:ascii="Arial" w:eastAsia="Times New Roman" w:hAnsi="Arial" w:cs="Arial"/>
          <w:lang w:eastAsia="fr-FR"/>
        </w:rPr>
        <w:t>4° Une description de l'outillage, du matériel et de l'équipement technique dont le candidat disposera pour la réalisation du marché public ;</w:t>
      </w:r>
    </w:p>
    <w:p w:rsidR="00101A97" w:rsidRDefault="00101A97" w:rsidP="00101A97">
      <w:pPr>
        <w:pStyle w:val="Paragraphedeliste"/>
        <w:keepLines/>
        <w:tabs>
          <w:tab w:val="left" w:pos="567"/>
          <w:tab w:val="left" w:pos="851"/>
          <w:tab w:val="left" w:pos="1134"/>
        </w:tabs>
        <w:spacing w:after="0" w:line="240" w:lineRule="auto"/>
        <w:ind w:left="0"/>
        <w:jc w:val="both"/>
        <w:rPr>
          <w:rFonts w:ascii="Arial" w:eastAsia="Times New Roman" w:hAnsi="Arial" w:cs="Arial"/>
          <w:lang w:eastAsia="fr-FR"/>
        </w:rPr>
      </w:pPr>
    </w:p>
    <w:p w:rsidR="00271CDF" w:rsidRPr="006753A9" w:rsidRDefault="00271CDF" w:rsidP="00101A97">
      <w:pPr>
        <w:pStyle w:val="Paragraphedeliste"/>
        <w:keepLines/>
        <w:tabs>
          <w:tab w:val="left" w:pos="567"/>
          <w:tab w:val="left" w:pos="851"/>
          <w:tab w:val="left" w:pos="1134"/>
        </w:tabs>
        <w:spacing w:after="0" w:line="240" w:lineRule="auto"/>
        <w:ind w:left="0"/>
        <w:jc w:val="both"/>
        <w:rPr>
          <w:rFonts w:ascii="Arial" w:hAnsi="Arial" w:cs="Arial"/>
          <w:highlight w:val="yellow"/>
        </w:rPr>
      </w:pPr>
      <w:r w:rsidRPr="00101A97">
        <w:rPr>
          <w:rFonts w:ascii="Arial" w:eastAsia="Times New Roman" w:hAnsi="Arial" w:cs="Arial"/>
          <w:lang w:eastAsia="fr-FR"/>
        </w:rPr>
        <w:t>5°</w:t>
      </w:r>
      <w:r w:rsidRPr="006753A9">
        <w:rPr>
          <w:rFonts w:ascii="Arial" w:eastAsia="Times New Roman" w:hAnsi="Arial" w:cs="Arial"/>
          <w:lang w:eastAsia="fr-FR"/>
        </w:rPr>
        <w:t xml:space="preserve"> Les certificats de qualifications professionnelles. La preuve de la capacité de l'entreprise peut être apportée par tout moyen, notamment par des certificats d'identité professionnelle ou des références des prestations attestant de la compétence de l'entreprise à réaliser la prestation pour laquelle elle se porte candidate.</w:t>
      </w:r>
    </w:p>
    <w:p w:rsidR="00271CDF" w:rsidRPr="006753A9" w:rsidRDefault="00271CDF" w:rsidP="006753A9">
      <w:pPr>
        <w:pStyle w:val="Normal2"/>
        <w:tabs>
          <w:tab w:val="clear" w:pos="567"/>
        </w:tabs>
        <w:ind w:left="0" w:firstLine="0"/>
        <w:rPr>
          <w:rFonts w:ascii="Arial" w:hAnsi="Arial" w:cs="Arial"/>
          <w:szCs w:val="22"/>
        </w:rPr>
      </w:pPr>
    </w:p>
    <w:p w:rsidR="00271CDF" w:rsidRPr="006753A9" w:rsidRDefault="00271CDF" w:rsidP="006753A9">
      <w:pPr>
        <w:pStyle w:val="Char1Char"/>
        <w:spacing w:after="0" w:line="240" w:lineRule="auto"/>
        <w:jc w:val="both"/>
        <w:rPr>
          <w:rFonts w:ascii="Arial" w:hAnsi="Arial" w:cs="Arial"/>
          <w:sz w:val="22"/>
          <w:szCs w:val="22"/>
          <w:lang w:val="fr-FR" w:eastAsia="fr-FR"/>
        </w:rPr>
      </w:pPr>
      <w:r w:rsidRPr="006753A9">
        <w:rPr>
          <w:rFonts w:ascii="Arial" w:hAnsi="Arial" w:cs="Arial"/>
          <w:sz w:val="22"/>
          <w:szCs w:val="22"/>
          <w:lang w:val="fr-FR"/>
        </w:rPr>
        <w:t xml:space="preserve">En outre, </w:t>
      </w:r>
      <w:r w:rsidRPr="006753A9">
        <w:rPr>
          <w:rFonts w:ascii="Arial" w:hAnsi="Arial" w:cs="Arial"/>
          <w:sz w:val="22"/>
          <w:szCs w:val="22"/>
          <w:lang w:val="fr-FR" w:eastAsia="fr-FR"/>
        </w:rPr>
        <w:t>le candidat produira :</w:t>
      </w:r>
    </w:p>
    <w:p w:rsidR="00271CDF" w:rsidRPr="006753A9" w:rsidRDefault="00271CDF" w:rsidP="006753A9">
      <w:pPr>
        <w:pStyle w:val="Char1Char"/>
        <w:numPr>
          <w:ilvl w:val="0"/>
          <w:numId w:val="17"/>
        </w:numPr>
        <w:tabs>
          <w:tab w:val="clear" w:pos="1854"/>
          <w:tab w:val="num" w:pos="374"/>
        </w:tabs>
        <w:spacing w:after="60"/>
        <w:ind w:left="0" w:firstLine="0"/>
        <w:jc w:val="both"/>
        <w:rPr>
          <w:rFonts w:ascii="Arial" w:hAnsi="Arial" w:cs="Arial"/>
          <w:sz w:val="22"/>
          <w:szCs w:val="22"/>
          <w:lang w:val="fr-FR" w:eastAsia="fr-FR"/>
        </w:rPr>
      </w:pPr>
      <w:r w:rsidRPr="006753A9">
        <w:rPr>
          <w:rFonts w:ascii="Arial" w:hAnsi="Arial" w:cs="Arial"/>
          <w:sz w:val="22"/>
          <w:szCs w:val="22"/>
          <w:lang w:val="fr-FR" w:eastAsia="fr-FR"/>
        </w:rPr>
        <w:t xml:space="preserve">Un extrait </w:t>
      </w:r>
      <w:proofErr w:type="spellStart"/>
      <w:r w:rsidRPr="006753A9">
        <w:rPr>
          <w:rFonts w:ascii="Arial" w:hAnsi="Arial" w:cs="Arial"/>
          <w:sz w:val="22"/>
          <w:szCs w:val="22"/>
          <w:lang w:val="fr-FR" w:eastAsia="fr-FR"/>
        </w:rPr>
        <w:t>Kbis</w:t>
      </w:r>
      <w:proofErr w:type="spellEnd"/>
      <w:r w:rsidRPr="006753A9">
        <w:rPr>
          <w:rFonts w:ascii="Arial" w:hAnsi="Arial" w:cs="Arial"/>
          <w:sz w:val="22"/>
          <w:szCs w:val="22"/>
          <w:lang w:val="fr-FR" w:eastAsia="fr-FR"/>
        </w:rPr>
        <w:t>,</w:t>
      </w:r>
    </w:p>
    <w:p w:rsidR="00271CDF" w:rsidRPr="003B5607" w:rsidRDefault="00271CDF" w:rsidP="006753A9">
      <w:pPr>
        <w:pStyle w:val="Char1Char"/>
        <w:numPr>
          <w:ilvl w:val="0"/>
          <w:numId w:val="17"/>
        </w:numPr>
        <w:tabs>
          <w:tab w:val="clear" w:pos="1854"/>
          <w:tab w:val="num" w:pos="374"/>
        </w:tabs>
        <w:spacing w:after="60"/>
        <w:ind w:left="0" w:firstLine="0"/>
        <w:jc w:val="both"/>
        <w:rPr>
          <w:rFonts w:ascii="Arial" w:hAnsi="Arial" w:cs="Arial"/>
          <w:sz w:val="22"/>
          <w:szCs w:val="22"/>
          <w:lang w:val="fr-FR"/>
        </w:rPr>
      </w:pPr>
      <w:r w:rsidRPr="006753A9">
        <w:rPr>
          <w:rFonts w:ascii="Arial" w:hAnsi="Arial" w:cs="Arial"/>
          <w:sz w:val="22"/>
          <w:szCs w:val="22"/>
          <w:lang w:val="fr-FR"/>
        </w:rPr>
        <w:t>L'attestation d'assurance civile, en cours de validité.</w:t>
      </w:r>
    </w:p>
    <w:p w:rsidR="00271CDF" w:rsidRPr="006753A9" w:rsidRDefault="00271CDF" w:rsidP="006753A9">
      <w:pPr>
        <w:pStyle w:val="Normal2"/>
        <w:ind w:left="0" w:firstLine="0"/>
        <w:rPr>
          <w:rFonts w:ascii="Arial" w:hAnsi="Arial" w:cs="Arial"/>
          <w:szCs w:val="22"/>
        </w:rPr>
      </w:pPr>
    </w:p>
    <w:p w:rsidR="00271CDF" w:rsidRPr="006753A9" w:rsidRDefault="00271CDF" w:rsidP="006753A9">
      <w:pPr>
        <w:pStyle w:val="Normal2"/>
        <w:ind w:left="0" w:firstLine="0"/>
        <w:rPr>
          <w:rFonts w:ascii="Arial" w:hAnsi="Arial" w:cs="Arial"/>
          <w:szCs w:val="22"/>
        </w:rPr>
      </w:pPr>
      <w:r w:rsidRPr="006753A9">
        <w:rPr>
          <w:rFonts w:ascii="Arial" w:hAnsi="Arial" w:cs="Arial"/>
          <w:szCs w:val="22"/>
        </w:rPr>
        <w:tab/>
        <w:t xml:space="preserve">Les candidats ne sont pas tenus de fournir les documents et renseignements que le pouvoir adjudicateur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 </w:t>
      </w:r>
    </w:p>
    <w:p w:rsidR="00271CDF" w:rsidRPr="006753A9" w:rsidRDefault="00271CDF" w:rsidP="006753A9">
      <w:pPr>
        <w:pStyle w:val="Normal2"/>
        <w:ind w:left="0" w:firstLine="0"/>
        <w:rPr>
          <w:rFonts w:ascii="Arial" w:hAnsi="Arial" w:cs="Arial"/>
          <w:szCs w:val="22"/>
        </w:rPr>
      </w:pPr>
    </w:p>
    <w:p w:rsidR="00271CDF" w:rsidRPr="006753A9" w:rsidRDefault="00271CDF" w:rsidP="006753A9">
      <w:pPr>
        <w:pStyle w:val="Normal2"/>
        <w:ind w:left="0" w:firstLine="0"/>
        <w:rPr>
          <w:rFonts w:ascii="Arial" w:hAnsi="Arial" w:cs="Arial"/>
          <w:szCs w:val="22"/>
        </w:rPr>
      </w:pPr>
      <w:r w:rsidRPr="006753A9">
        <w:rPr>
          <w:rFonts w:ascii="Arial" w:hAnsi="Arial" w:cs="Arial"/>
          <w:szCs w:val="22"/>
        </w:rPr>
        <w:tab/>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271CDF" w:rsidRPr="006753A9" w:rsidRDefault="00271CDF" w:rsidP="006753A9">
      <w:pPr>
        <w:pStyle w:val="Normal2"/>
        <w:ind w:left="0" w:firstLine="0"/>
        <w:rPr>
          <w:rFonts w:ascii="Arial" w:hAnsi="Arial" w:cs="Arial"/>
          <w:szCs w:val="22"/>
        </w:rPr>
      </w:pPr>
    </w:p>
    <w:p w:rsidR="00271CDF" w:rsidRPr="006753A9" w:rsidRDefault="00271CDF" w:rsidP="006753A9">
      <w:pPr>
        <w:pStyle w:val="Normal2"/>
        <w:ind w:left="0" w:firstLine="0"/>
        <w:rPr>
          <w:rFonts w:ascii="Arial" w:hAnsi="Arial" w:cs="Arial"/>
          <w:szCs w:val="22"/>
        </w:rPr>
      </w:pPr>
      <w:r w:rsidRPr="006753A9">
        <w:rPr>
          <w:rFonts w:ascii="Arial" w:hAnsi="Arial" w:cs="Arial"/>
          <w:szCs w:val="22"/>
        </w:rPr>
        <w:lastRenderedPageBreak/>
        <w:tab/>
        <w:t xml:space="preserve">Les entreprises nouvellement créées prouveront par tout moyen qu’elles possèdent les garanties et capacités techniques et les capacités professionnelles requises. </w:t>
      </w:r>
    </w:p>
    <w:p w:rsidR="00271CDF" w:rsidRPr="006753A9" w:rsidRDefault="00271CDF" w:rsidP="006753A9">
      <w:pPr>
        <w:pStyle w:val="Normal2"/>
        <w:ind w:left="0" w:firstLine="0"/>
        <w:rPr>
          <w:rFonts w:ascii="Arial" w:hAnsi="Arial" w:cs="Arial"/>
          <w:szCs w:val="22"/>
        </w:rPr>
      </w:pPr>
      <w:r w:rsidRPr="006753A9">
        <w:rPr>
          <w:rFonts w:ascii="Arial" w:hAnsi="Arial" w:cs="Arial"/>
          <w:szCs w:val="22"/>
        </w:rPr>
        <w:t>Si le candidat est objectivement dans l’impossibilité de produire, pour justifier de sa capacité financière, l’un des renseignements demandés par le pouvoir adjudicateur, il peut prouver sa capacité par tout autre document considéré comme équivalent par le pouvoir adjudicateur.</w:t>
      </w:r>
    </w:p>
    <w:p w:rsidR="00271CDF" w:rsidRPr="006753A9" w:rsidRDefault="00271CDF" w:rsidP="006753A9">
      <w:pPr>
        <w:pStyle w:val="Normal2"/>
        <w:ind w:left="0" w:firstLine="0"/>
        <w:rPr>
          <w:rFonts w:ascii="Arial" w:hAnsi="Arial" w:cs="Arial"/>
          <w:szCs w:val="22"/>
        </w:rPr>
      </w:pPr>
    </w:p>
    <w:p w:rsidR="00271CDF" w:rsidRPr="006753A9" w:rsidRDefault="00271CDF" w:rsidP="006753A9">
      <w:pPr>
        <w:pStyle w:val="Char1Char"/>
        <w:jc w:val="both"/>
        <w:rPr>
          <w:rFonts w:ascii="Arial" w:hAnsi="Arial" w:cs="Arial"/>
          <w:sz w:val="22"/>
          <w:szCs w:val="22"/>
          <w:lang w:val="fr-FR"/>
        </w:rPr>
      </w:pPr>
      <w:r w:rsidRPr="006753A9">
        <w:rPr>
          <w:rFonts w:ascii="Arial" w:hAnsi="Arial" w:cs="Arial"/>
          <w:b/>
          <w:sz w:val="22"/>
          <w:szCs w:val="22"/>
          <w:u w:val="single"/>
          <w:lang w:val="fr-FR"/>
        </w:rPr>
        <w:t>NOTA :</w:t>
      </w:r>
      <w:r w:rsidRPr="006753A9">
        <w:rPr>
          <w:rFonts w:ascii="Arial" w:hAnsi="Arial" w:cs="Arial"/>
          <w:sz w:val="22"/>
          <w:szCs w:val="22"/>
          <w:lang w:val="fr-FR"/>
        </w:rPr>
        <w:t> Avant de procéder à l’examen des candidatures, s’il est constaté que des pièces visées ci-dessus sont manquantes ou incomplètes, le pouvoir adjudicateur peut décider de demander à tous les candidats concernés de produire ou compléter ces pièces dans un délai de 5 jours. Les autres candidats qui ont la possibilité de compléter leur candidature, en seront informés dans le même délai.</w:t>
      </w:r>
    </w:p>
    <w:p w:rsidR="00271CDF" w:rsidRPr="006753A9" w:rsidRDefault="00271CDF" w:rsidP="00271CDF">
      <w:pPr>
        <w:pStyle w:val="Normal2"/>
        <w:ind w:left="0" w:firstLine="0"/>
        <w:rPr>
          <w:rFonts w:ascii="Arial" w:hAnsi="Arial" w:cs="Arial"/>
          <w:szCs w:val="22"/>
        </w:rPr>
      </w:pPr>
      <w:r w:rsidRPr="006753A9">
        <w:rPr>
          <w:rFonts w:ascii="Arial" w:hAnsi="Arial" w:cs="Arial"/>
          <w:b/>
          <w:szCs w:val="22"/>
          <w:u w:val="single"/>
        </w:rPr>
        <w:t xml:space="preserve">Pièces de l’offre : </w:t>
      </w:r>
    </w:p>
    <w:p w:rsidR="00271CDF" w:rsidRPr="006753A9" w:rsidRDefault="00271CDF" w:rsidP="00271CDF">
      <w:pPr>
        <w:pStyle w:val="Normal2"/>
        <w:ind w:left="0" w:firstLine="0"/>
        <w:rPr>
          <w:rFonts w:ascii="Arial" w:hAnsi="Arial" w:cs="Arial"/>
          <w:szCs w:val="22"/>
        </w:rPr>
      </w:pPr>
    </w:p>
    <w:p w:rsidR="00271CDF" w:rsidRDefault="00271CDF" w:rsidP="00271CDF">
      <w:pPr>
        <w:pStyle w:val="Normal2"/>
        <w:ind w:left="0" w:firstLine="0"/>
        <w:rPr>
          <w:rFonts w:ascii="Arial" w:hAnsi="Arial" w:cs="Arial"/>
          <w:szCs w:val="22"/>
        </w:rPr>
      </w:pPr>
      <w:r w:rsidRPr="006753A9">
        <w:rPr>
          <w:rFonts w:ascii="Arial" w:hAnsi="Arial" w:cs="Arial"/>
          <w:szCs w:val="22"/>
        </w:rPr>
        <w:t>Un projet de marché comprenant :</w:t>
      </w:r>
    </w:p>
    <w:p w:rsidR="006753A9" w:rsidRPr="006753A9" w:rsidRDefault="006753A9" w:rsidP="00271CDF">
      <w:pPr>
        <w:pStyle w:val="Normal2"/>
        <w:ind w:left="0" w:firstLine="0"/>
        <w:rPr>
          <w:rFonts w:ascii="Arial" w:hAnsi="Arial" w:cs="Arial"/>
          <w:szCs w:val="22"/>
        </w:rPr>
      </w:pPr>
    </w:p>
    <w:p w:rsidR="00271CDF" w:rsidRDefault="00271CDF" w:rsidP="00271CDF">
      <w:pPr>
        <w:pStyle w:val="Normal2"/>
        <w:numPr>
          <w:ilvl w:val="0"/>
          <w:numId w:val="18"/>
        </w:numPr>
        <w:ind w:left="0" w:firstLine="0"/>
        <w:rPr>
          <w:rFonts w:ascii="Arial" w:hAnsi="Arial" w:cs="Arial"/>
          <w:szCs w:val="22"/>
        </w:rPr>
      </w:pPr>
      <w:r w:rsidRPr="006753A9">
        <w:rPr>
          <w:rFonts w:ascii="Arial" w:hAnsi="Arial" w:cs="Arial"/>
          <w:szCs w:val="22"/>
        </w:rPr>
        <w:t xml:space="preserve">Les actes d’engagement (A.E.) et ses annexes propres à chaque maître </w:t>
      </w:r>
      <w:proofErr w:type="gramStart"/>
      <w:r w:rsidRPr="006753A9">
        <w:rPr>
          <w:rFonts w:ascii="Arial" w:hAnsi="Arial" w:cs="Arial"/>
          <w:szCs w:val="22"/>
        </w:rPr>
        <w:t>d'ouvrage:</w:t>
      </w:r>
      <w:proofErr w:type="gramEnd"/>
      <w:r w:rsidRPr="006753A9">
        <w:rPr>
          <w:rFonts w:ascii="Arial" w:hAnsi="Arial" w:cs="Arial"/>
          <w:szCs w:val="22"/>
        </w:rPr>
        <w:t xml:space="preserve"> à compléter par les représentants qualifiés des entreprises ayant vocation à être titulaires du contrat</w:t>
      </w:r>
    </w:p>
    <w:p w:rsidR="006753A9" w:rsidRPr="006753A9" w:rsidRDefault="006753A9" w:rsidP="006753A9">
      <w:pPr>
        <w:pStyle w:val="Normal2"/>
        <w:ind w:left="0" w:firstLine="0"/>
        <w:rPr>
          <w:rFonts w:ascii="Arial" w:hAnsi="Arial" w:cs="Arial"/>
          <w:szCs w:val="22"/>
        </w:rPr>
      </w:pPr>
    </w:p>
    <w:p w:rsidR="006753A9" w:rsidRPr="006753A9" w:rsidRDefault="00271CDF" w:rsidP="006753A9">
      <w:pPr>
        <w:pStyle w:val="Normal2"/>
        <w:numPr>
          <w:ilvl w:val="0"/>
          <w:numId w:val="18"/>
        </w:numPr>
        <w:ind w:left="0" w:firstLine="0"/>
        <w:rPr>
          <w:rFonts w:ascii="Arial" w:hAnsi="Arial" w:cs="Arial"/>
          <w:szCs w:val="22"/>
        </w:rPr>
      </w:pPr>
      <w:r w:rsidRPr="006753A9">
        <w:rPr>
          <w:rFonts w:ascii="Arial" w:hAnsi="Arial" w:cs="Arial"/>
          <w:szCs w:val="22"/>
        </w:rPr>
        <w:t xml:space="preserve">Le cahier des clauses particulières (CCP) commun aux maîtres d'ouvrage à accepter sans aucune </w:t>
      </w:r>
      <w:proofErr w:type="gramStart"/>
      <w:r w:rsidRPr="006753A9">
        <w:rPr>
          <w:rFonts w:ascii="Arial" w:hAnsi="Arial" w:cs="Arial"/>
          <w:szCs w:val="22"/>
        </w:rPr>
        <w:t>modification;</w:t>
      </w:r>
      <w:proofErr w:type="gramEnd"/>
    </w:p>
    <w:p w:rsidR="006753A9" w:rsidRPr="006753A9" w:rsidRDefault="006753A9" w:rsidP="006753A9">
      <w:pPr>
        <w:pStyle w:val="Normal2"/>
        <w:ind w:left="0" w:firstLine="0"/>
        <w:rPr>
          <w:rFonts w:ascii="Arial" w:hAnsi="Arial" w:cs="Arial"/>
          <w:szCs w:val="22"/>
        </w:rPr>
      </w:pPr>
    </w:p>
    <w:p w:rsidR="00CE0CED" w:rsidRPr="006753A9" w:rsidRDefault="00CE0CED" w:rsidP="00CE0CED">
      <w:pPr>
        <w:numPr>
          <w:ilvl w:val="0"/>
          <w:numId w:val="6"/>
        </w:numPr>
        <w:spacing w:after="52"/>
        <w:ind w:right="0" w:hanging="427"/>
      </w:pPr>
      <w:r w:rsidRPr="006753A9">
        <w:rPr>
          <w:b/>
        </w:rPr>
        <w:t xml:space="preserve">Un mémoire méthodologique joint </w:t>
      </w:r>
      <w:r w:rsidRPr="006753A9">
        <w:t>commun aux maîtres d’ouvrage des travaux connexes à compléter, mentionnant</w:t>
      </w:r>
      <w:r w:rsidRPr="006753A9">
        <w:rPr>
          <w:b/>
        </w:rPr>
        <w:t xml:space="preserve"> :</w:t>
      </w:r>
      <w:r w:rsidRPr="006753A9">
        <w:t xml:space="preserve"> </w:t>
      </w:r>
    </w:p>
    <w:p w:rsidR="00CE0CED" w:rsidRPr="006753A9" w:rsidRDefault="00CE0CED" w:rsidP="00CE0CED">
      <w:pPr>
        <w:spacing w:after="0" w:line="259" w:lineRule="auto"/>
        <w:ind w:left="427" w:right="0" w:firstLine="0"/>
        <w:jc w:val="left"/>
      </w:pPr>
      <w:r w:rsidRPr="006753A9">
        <w:t xml:space="preserve"> </w:t>
      </w:r>
    </w:p>
    <w:p w:rsidR="00CE0CED" w:rsidRPr="006753A9" w:rsidRDefault="00CE0CED" w:rsidP="00CE0CED">
      <w:pPr>
        <w:numPr>
          <w:ilvl w:val="0"/>
          <w:numId w:val="7"/>
        </w:numPr>
        <w:spacing w:after="236"/>
        <w:ind w:right="0" w:hanging="137"/>
      </w:pPr>
      <w:proofErr w:type="gramStart"/>
      <w:r w:rsidRPr="006753A9">
        <w:rPr>
          <w:i/>
        </w:rPr>
        <w:t>l’équipe</w:t>
      </w:r>
      <w:proofErr w:type="gramEnd"/>
      <w:r w:rsidRPr="006753A9">
        <w:rPr>
          <w:i/>
        </w:rPr>
        <w:t xml:space="preserve"> dédiée et son expérience</w:t>
      </w:r>
      <w:r w:rsidRPr="006753A9">
        <w:t xml:space="preserve"> en projet de maitrise d’œuvre équivalent.  </w:t>
      </w:r>
    </w:p>
    <w:p w:rsidR="00CE0CED" w:rsidRPr="006753A9" w:rsidRDefault="00CE0CED" w:rsidP="00CE0CED">
      <w:pPr>
        <w:numPr>
          <w:ilvl w:val="0"/>
          <w:numId w:val="7"/>
        </w:numPr>
        <w:spacing w:after="271"/>
        <w:ind w:right="0" w:hanging="137"/>
      </w:pPr>
      <w:proofErr w:type="gramStart"/>
      <w:r w:rsidRPr="006753A9">
        <w:rPr>
          <w:i/>
        </w:rPr>
        <w:t>la</w:t>
      </w:r>
      <w:proofErr w:type="gramEnd"/>
      <w:r w:rsidRPr="006753A9">
        <w:rPr>
          <w:i/>
        </w:rPr>
        <w:t xml:space="preserve"> définition de la méthodologique</w:t>
      </w:r>
      <w:r w:rsidRPr="006753A9">
        <w:t xml:space="preserve"> pour chaque étape de la mission qui devra permettre :  </w:t>
      </w:r>
    </w:p>
    <w:p w:rsidR="00CE0CED" w:rsidRPr="006753A9" w:rsidRDefault="00CE0CED" w:rsidP="00CE0CED">
      <w:pPr>
        <w:numPr>
          <w:ilvl w:val="1"/>
          <w:numId w:val="7"/>
        </w:numPr>
        <w:ind w:right="0" w:hanging="360"/>
      </w:pPr>
      <w:r w:rsidRPr="006753A9">
        <w:t xml:space="preserve">D’avoir une indication du planning pour chaque élément de mission, </w:t>
      </w:r>
    </w:p>
    <w:p w:rsidR="00CE0CED" w:rsidRPr="006753A9" w:rsidRDefault="00CE0CED" w:rsidP="00CE0CED">
      <w:pPr>
        <w:numPr>
          <w:ilvl w:val="1"/>
          <w:numId w:val="7"/>
        </w:numPr>
        <w:ind w:right="0" w:hanging="360"/>
      </w:pPr>
      <w:r w:rsidRPr="006753A9">
        <w:t xml:space="preserve">D’appréhender la méthodologie mise en œuvre de la phase Étude compte tenu du contexte et des enjeux, </w:t>
      </w:r>
    </w:p>
    <w:p w:rsidR="00CE0CED" w:rsidRPr="006753A9" w:rsidRDefault="00CE0CED" w:rsidP="00CE0CED">
      <w:pPr>
        <w:numPr>
          <w:ilvl w:val="1"/>
          <w:numId w:val="7"/>
        </w:numPr>
        <w:spacing w:after="29"/>
        <w:ind w:right="0" w:hanging="360"/>
      </w:pPr>
      <w:r w:rsidRPr="006753A9">
        <w:t xml:space="preserve">D’appréhender la méthodologie mise en œuvre de la phase Travaux compte tenu du contexte et des enjeux, </w:t>
      </w:r>
    </w:p>
    <w:p w:rsidR="00CE0CED" w:rsidRPr="006753A9" w:rsidRDefault="00CE0CED" w:rsidP="00CE0CED">
      <w:pPr>
        <w:numPr>
          <w:ilvl w:val="1"/>
          <w:numId w:val="7"/>
        </w:numPr>
        <w:spacing w:after="29"/>
        <w:ind w:right="0" w:hanging="360"/>
      </w:pPr>
      <w:r w:rsidRPr="006753A9">
        <w:t xml:space="preserve">D’appréhender la prise en compte de l’environnement dans la méthodologie de chaque mission, </w:t>
      </w:r>
    </w:p>
    <w:p w:rsidR="00CE0CED" w:rsidRPr="006753A9" w:rsidRDefault="00CE0CED" w:rsidP="00CE0CED">
      <w:pPr>
        <w:numPr>
          <w:ilvl w:val="1"/>
          <w:numId w:val="7"/>
        </w:numPr>
        <w:spacing w:after="30"/>
        <w:ind w:right="0" w:hanging="360"/>
      </w:pPr>
      <w:r w:rsidRPr="006753A9">
        <w:t xml:space="preserve">D’identifier le contenu et la précision des documents produits (pièces écrites et plans) à chaque phase de la mission (tant pendant la conception que pendant les travaux), </w:t>
      </w:r>
    </w:p>
    <w:p w:rsidR="00CE0CED" w:rsidRPr="006753A9" w:rsidRDefault="00CE0CED" w:rsidP="00CE0CED">
      <w:pPr>
        <w:numPr>
          <w:ilvl w:val="1"/>
          <w:numId w:val="7"/>
        </w:numPr>
        <w:ind w:right="0" w:hanging="360"/>
      </w:pPr>
      <w:r w:rsidRPr="006753A9">
        <w:t xml:space="preserve">De vérifier l’adéquation entre les missions, </w:t>
      </w:r>
    </w:p>
    <w:p w:rsidR="00CE0CED" w:rsidRPr="006753A9" w:rsidRDefault="00CE0CED" w:rsidP="00CE0CED">
      <w:pPr>
        <w:numPr>
          <w:ilvl w:val="1"/>
          <w:numId w:val="7"/>
        </w:numPr>
        <w:spacing w:after="32" w:line="240" w:lineRule="auto"/>
        <w:ind w:right="0" w:hanging="360"/>
      </w:pPr>
      <w:r w:rsidRPr="006753A9">
        <w:t xml:space="preserve">De préciser les modalités de rendu et de calendrier des prestations et présenter les moyens de communication mis en œuvre pour assurer la coordination nécessaire et l’information des maîtres d’ouvrage et de ses partenaires,  </w:t>
      </w:r>
    </w:p>
    <w:p w:rsidR="00CE0CED" w:rsidRPr="006753A9" w:rsidRDefault="00CE0CED" w:rsidP="00CE0CED">
      <w:pPr>
        <w:spacing w:after="19" w:line="259" w:lineRule="auto"/>
        <w:ind w:left="0" w:right="0" w:firstLine="0"/>
        <w:jc w:val="left"/>
      </w:pPr>
      <w:r w:rsidRPr="006753A9">
        <w:t xml:space="preserve"> </w:t>
      </w:r>
    </w:p>
    <w:p w:rsidR="00CE0CED" w:rsidRPr="006753A9" w:rsidRDefault="00CE0CED" w:rsidP="00CE0CED">
      <w:pPr>
        <w:ind w:left="-5" w:right="0"/>
      </w:pPr>
      <w:r w:rsidRPr="006753A9">
        <w:t xml:space="preserve">D’une manière générale, le candidat précisera le mode de concertation qu’il mettra en place en mission « étude » et en mission « travaux ». Il insistera particulièrement sur ses relations et celles des entreprises retenues avec les maîtres d’ouvrage, les élus locaux, les services de l’État, les propriétaires et les exploitants agricoles.  </w:t>
      </w:r>
    </w:p>
    <w:p w:rsidR="00271CDF" w:rsidRPr="006753A9" w:rsidRDefault="00271CDF" w:rsidP="00271CDF">
      <w:pPr>
        <w:pStyle w:val="Normal2"/>
        <w:ind w:left="0" w:firstLine="0"/>
        <w:rPr>
          <w:rFonts w:ascii="Arial" w:hAnsi="Arial" w:cs="Arial"/>
          <w:szCs w:val="22"/>
        </w:rPr>
      </w:pPr>
    </w:p>
    <w:p w:rsidR="00271CDF" w:rsidRPr="006753A9" w:rsidRDefault="00271CDF" w:rsidP="00271CDF">
      <w:pPr>
        <w:pStyle w:val="Normal2"/>
        <w:ind w:left="0" w:firstLine="0"/>
        <w:rPr>
          <w:rFonts w:ascii="Arial" w:hAnsi="Arial" w:cs="Arial"/>
          <w:szCs w:val="22"/>
        </w:rPr>
      </w:pPr>
      <w:r w:rsidRPr="006753A9">
        <w:rPr>
          <w:rFonts w:ascii="Arial" w:hAnsi="Arial" w:cs="Arial"/>
          <w:szCs w:val="22"/>
        </w:rPr>
        <w:t>Le dossier sera transmis au moyen d’un pli contenant les pièces de la candidature et de l’offre.</w:t>
      </w:r>
    </w:p>
    <w:p w:rsidR="00271CDF" w:rsidRDefault="00271CDF" w:rsidP="00271CDF">
      <w:r w:rsidRPr="006753A9">
        <w:t>Les candidats porteront une attention particulière pour fournir la totalité des pièces et informations mentionnées ci-dessus.</w:t>
      </w:r>
    </w:p>
    <w:p w:rsidR="001B0653" w:rsidRDefault="001B0653" w:rsidP="00271CDF"/>
    <w:p w:rsidR="001B0653" w:rsidRPr="006753A9" w:rsidRDefault="001B0653" w:rsidP="00271CDF"/>
    <w:p w:rsidR="00271CDF" w:rsidRPr="006753A9" w:rsidRDefault="00271CDF" w:rsidP="00271CDF">
      <w:pPr>
        <w:pStyle w:val="Normal2"/>
        <w:ind w:left="0" w:firstLine="0"/>
        <w:rPr>
          <w:rFonts w:ascii="Arial" w:hAnsi="Arial" w:cs="Arial"/>
          <w:szCs w:val="22"/>
        </w:rPr>
      </w:pPr>
    </w:p>
    <w:p w:rsidR="00271CDF" w:rsidRDefault="00271CDF" w:rsidP="00271CDF">
      <w:pPr>
        <w:pStyle w:val="Normal2"/>
        <w:ind w:left="0" w:firstLine="0"/>
        <w:rPr>
          <w:rFonts w:ascii="Arial" w:hAnsi="Arial" w:cs="Arial"/>
          <w:b/>
          <w:szCs w:val="22"/>
          <w:u w:val="single"/>
        </w:rPr>
      </w:pPr>
      <w:r w:rsidRPr="006753A9">
        <w:rPr>
          <w:rFonts w:ascii="Arial" w:hAnsi="Arial" w:cs="Arial"/>
          <w:b/>
          <w:szCs w:val="22"/>
          <w:u w:val="single"/>
        </w:rPr>
        <w:lastRenderedPageBreak/>
        <w:t>NOTA :</w:t>
      </w:r>
    </w:p>
    <w:p w:rsidR="001B0653" w:rsidRPr="006753A9" w:rsidRDefault="001B0653" w:rsidP="00271CDF">
      <w:pPr>
        <w:pStyle w:val="Normal2"/>
        <w:ind w:left="0" w:firstLine="0"/>
        <w:rPr>
          <w:rFonts w:ascii="Arial" w:hAnsi="Arial" w:cs="Arial"/>
          <w:szCs w:val="22"/>
        </w:rPr>
      </w:pPr>
    </w:p>
    <w:p w:rsidR="00271CDF" w:rsidRPr="006753A9" w:rsidRDefault="00271CDF" w:rsidP="00271CDF">
      <w:pPr>
        <w:pStyle w:val="Normal2"/>
        <w:ind w:left="0" w:firstLine="0"/>
        <w:rPr>
          <w:rFonts w:ascii="Arial" w:hAnsi="Arial" w:cs="Arial"/>
          <w:szCs w:val="22"/>
        </w:rPr>
      </w:pPr>
      <w:r w:rsidRPr="006753A9">
        <w:rPr>
          <w:rFonts w:ascii="Arial" w:hAnsi="Arial" w:cs="Arial"/>
          <w:szCs w:val="22"/>
        </w:rPr>
        <w:t>L’attention des candidats est attirée sur le fait que s’ils veulent renoncer au bénéfice de l’avance prévue au cahier des clauses administratives particulières, ils doivent le préciser à l’acte d’engagement.</w:t>
      </w:r>
    </w:p>
    <w:p w:rsidR="006753A9" w:rsidRPr="006753A9" w:rsidRDefault="006753A9" w:rsidP="006753A9"/>
    <w:p w:rsidR="00CE0CED" w:rsidRPr="006753A9" w:rsidRDefault="00CE0CED" w:rsidP="00CE0CED"/>
    <w:p w:rsidR="00CE0CED" w:rsidRPr="006753A9" w:rsidRDefault="006753A9" w:rsidP="00CE0CED">
      <w:pPr>
        <w:pStyle w:val="Titre2"/>
        <w:ind w:left="0"/>
        <w:rPr>
          <w:sz w:val="22"/>
        </w:rPr>
      </w:pPr>
      <w:bookmarkStart w:id="2" w:name="_Toc486490695"/>
      <w:r>
        <w:rPr>
          <w:sz w:val="22"/>
        </w:rPr>
        <w:t>4-2</w:t>
      </w:r>
      <w:r w:rsidR="00CE0CED" w:rsidRPr="006753A9">
        <w:rPr>
          <w:sz w:val="22"/>
        </w:rPr>
        <w:t xml:space="preserve"> – Fournitures des justificatifs administratifs avant la signature du marché</w:t>
      </w:r>
      <w:bookmarkEnd w:id="2"/>
    </w:p>
    <w:p w:rsidR="00CE0CED" w:rsidRPr="006753A9" w:rsidRDefault="00CE0CED" w:rsidP="00CE0CED">
      <w:pPr>
        <w:autoSpaceDE w:val="0"/>
        <w:autoSpaceDN w:val="0"/>
        <w:adjustRightInd w:val="0"/>
        <w:rPr>
          <w:bCs/>
        </w:rPr>
      </w:pPr>
    </w:p>
    <w:p w:rsidR="00CE0CED" w:rsidRPr="006753A9" w:rsidRDefault="00CE0CED" w:rsidP="00CE0CED">
      <w:pPr>
        <w:widowControl w:val="0"/>
        <w:ind w:right="-1"/>
      </w:pPr>
      <w:r w:rsidRPr="006753A9">
        <w:rPr>
          <w:bCs/>
        </w:rPr>
        <w:tab/>
      </w:r>
      <w:r w:rsidRPr="006753A9">
        <w:t xml:space="preserve">Conformément aux articles 50 et 51, le candidat ou chaque membre du groupement retenu devra fournir, dans </w:t>
      </w:r>
      <w:proofErr w:type="gramStart"/>
      <w:r w:rsidRPr="006753A9">
        <w:t>un délai de 8 jours francs</w:t>
      </w:r>
      <w:proofErr w:type="gramEnd"/>
      <w:r w:rsidRPr="006753A9">
        <w:t xml:space="preserve"> à compter de la demande de la collectivité par courrier, mail ou télécopie les justificatifs fiscaux et sociaux suivants :</w:t>
      </w:r>
    </w:p>
    <w:p w:rsidR="00CE0CED" w:rsidRPr="006753A9" w:rsidRDefault="00CE0CED" w:rsidP="00CE0CED">
      <w:pPr>
        <w:widowControl w:val="0"/>
        <w:ind w:right="-1"/>
      </w:pPr>
    </w:p>
    <w:p w:rsidR="00CE0CED" w:rsidRPr="006753A9" w:rsidRDefault="00CE0CED" w:rsidP="00CE0CED">
      <w:pPr>
        <w:widowControl w:val="0"/>
        <w:numPr>
          <w:ilvl w:val="0"/>
          <w:numId w:val="20"/>
        </w:numPr>
        <w:tabs>
          <w:tab w:val="left" w:pos="1418"/>
        </w:tabs>
        <w:spacing w:before="60" w:after="0" w:line="240" w:lineRule="auto"/>
        <w:ind w:left="375" w:right="0" w:hanging="284"/>
        <w:jc w:val="left"/>
      </w:pPr>
      <w:r w:rsidRPr="006753A9">
        <w:t>Pièces mentionnées à l'article D 8222-5 ou D 8222-7 et D 8222-8 du Code du travail (attestation de vigilance URSSAF datée de moins de 6 mois)</w:t>
      </w:r>
    </w:p>
    <w:p w:rsidR="00CE0CED" w:rsidRPr="006753A9" w:rsidRDefault="00CE0CED" w:rsidP="00CE0CED">
      <w:pPr>
        <w:widowControl w:val="0"/>
        <w:numPr>
          <w:ilvl w:val="0"/>
          <w:numId w:val="19"/>
        </w:numPr>
        <w:tabs>
          <w:tab w:val="left" w:pos="1418"/>
        </w:tabs>
        <w:spacing w:before="60" w:after="0" w:line="240" w:lineRule="auto"/>
        <w:ind w:left="375" w:right="0" w:hanging="284"/>
        <w:rPr>
          <w:i/>
          <w:iCs/>
        </w:rPr>
      </w:pPr>
      <w:r w:rsidRPr="006753A9">
        <w:t>Les attestations et certificats délivrés par les administrations et organismes compétents prouvant qu’il a satisfait à ses obligations fiscales et sociales.</w:t>
      </w:r>
    </w:p>
    <w:p w:rsidR="00CE0CED" w:rsidRPr="006753A9" w:rsidRDefault="00CE0CED" w:rsidP="00CE0CED">
      <w:pPr>
        <w:widowControl w:val="0"/>
        <w:tabs>
          <w:tab w:val="left" w:pos="1418"/>
        </w:tabs>
        <w:spacing w:before="60"/>
        <w:ind w:left="375"/>
        <w:rPr>
          <w:i/>
          <w:iCs/>
        </w:rPr>
      </w:pPr>
    </w:p>
    <w:p w:rsidR="00CE0CED" w:rsidRPr="006753A9" w:rsidRDefault="00CE0CED" w:rsidP="00CE0CED">
      <w:pPr>
        <w:widowControl w:val="0"/>
        <w:tabs>
          <w:tab w:val="left" w:pos="1418"/>
        </w:tabs>
        <w:spacing w:before="60"/>
        <w:rPr>
          <w:i/>
          <w:iCs/>
        </w:rPr>
      </w:pPr>
    </w:p>
    <w:p w:rsidR="00CE0CED" w:rsidRPr="006753A9" w:rsidRDefault="00CE0CED" w:rsidP="00CE0CED">
      <w:pPr>
        <w:widowControl w:val="0"/>
        <w:ind w:right="-1"/>
        <w:rPr>
          <w:bCs/>
        </w:rPr>
      </w:pPr>
      <w:r w:rsidRPr="006753A9">
        <w:rPr>
          <w:bCs/>
        </w:rPr>
        <w:t>Les organismes ou sociétés non soumis à l'une des obligations fiscales doivent impérativement le signaler.</w:t>
      </w:r>
    </w:p>
    <w:p w:rsidR="00CE0CED" w:rsidRPr="006753A9" w:rsidRDefault="00CE0CED" w:rsidP="00CE0CED">
      <w:pPr>
        <w:widowControl w:val="0"/>
        <w:ind w:right="-1"/>
        <w:rPr>
          <w:bCs/>
        </w:rPr>
      </w:pPr>
    </w:p>
    <w:p w:rsidR="00CE0CED" w:rsidRPr="006753A9" w:rsidRDefault="00CE0CED" w:rsidP="00CE0CED">
      <w:pPr>
        <w:widowControl w:val="0"/>
        <w:ind w:right="-1"/>
        <w:rPr>
          <w:bCs/>
        </w:rPr>
      </w:pPr>
      <w:r w:rsidRPr="006753A9">
        <w:rPr>
          <w:bCs/>
        </w:rPr>
        <w:t>Si le candidat retenu a fourni ces justificatifs à l’appui de sa candidature, il ne sera pas tenu de les transmettre à nouveau lors de l’attribution.</w:t>
      </w:r>
    </w:p>
    <w:p w:rsidR="00CE0CED" w:rsidRPr="006753A9" w:rsidRDefault="00CE0CED" w:rsidP="00CE0CED">
      <w:pPr>
        <w:widowControl w:val="0"/>
        <w:ind w:right="-1"/>
      </w:pPr>
    </w:p>
    <w:p w:rsidR="00CE0CED" w:rsidRPr="006753A9" w:rsidRDefault="00CE0CED" w:rsidP="00CE0CED">
      <w:r w:rsidRPr="006753A9">
        <w:t>Dans le cas où ces justificatifs ne pourraient pas être produits dans le délai imparti par le candidat retenu, l’offre sera rejetée et le candidat éliminé. Dans ce cas, l’élimination du candidat est prononcée par le Pouvoir Adjudicateur, qui présente la même demande au candidat suivant dans le classement des offres.</w:t>
      </w:r>
    </w:p>
    <w:p w:rsidR="00CE0CED" w:rsidRPr="006753A9" w:rsidRDefault="00CE0CED" w:rsidP="00CE0CED">
      <w:pPr>
        <w:spacing w:before="100" w:beforeAutospacing="1" w:after="100" w:afterAutospacing="1"/>
        <w:rPr>
          <w:iCs/>
        </w:rPr>
      </w:pPr>
      <w:r w:rsidRPr="006753A9">
        <w:rPr>
          <w:iCs/>
        </w:rPr>
        <w:t>Le candidat dont l'offre a été classée immédiatement après la sienne sera donc sollicité pour produire les certificats et attestations nécessaires avant que le marché ne lui soit attribué. Si nécessaire, cette procédure pourra être reproduite tant qu'il subsiste des offres qui n'auront pas été écartées au motif qu'elles sont inappropriées, irrégulières ou inacceptables.</w:t>
      </w:r>
    </w:p>
    <w:p w:rsidR="00CE0CED" w:rsidRPr="006753A9" w:rsidRDefault="00CE0CED" w:rsidP="00CE0CED">
      <w:pPr>
        <w:widowControl w:val="0"/>
        <w:ind w:right="-1"/>
        <w:rPr>
          <w:bCs/>
        </w:rPr>
      </w:pPr>
    </w:p>
    <w:p w:rsidR="00CE0CED" w:rsidRPr="006753A9" w:rsidRDefault="00CE0CED" w:rsidP="00CE0CED">
      <w:pPr>
        <w:rPr>
          <w:bCs/>
        </w:rPr>
      </w:pPr>
      <w:r w:rsidRPr="006753A9">
        <w:rPr>
          <w:bCs/>
        </w:rPr>
        <w:t xml:space="preserve">Le candidat, conformément à l’article 53, pourra être dispensé de fournir les documents ci-dessus demandés, à condition que le pouvoir adjudicateur puisse les obtenir directement par le biais d’un système électronique de mise à disposition d’informations administré par un organisme officiel ou d’un espace de stockage </w:t>
      </w:r>
      <w:proofErr w:type="gramStart"/>
      <w:r w:rsidRPr="006753A9">
        <w:rPr>
          <w:bCs/>
        </w:rPr>
        <w:t>numérique;</w:t>
      </w:r>
      <w:proofErr w:type="gramEnd"/>
      <w:r w:rsidRPr="006753A9">
        <w:rPr>
          <w:bCs/>
        </w:rPr>
        <w:t xml:space="preserve"> accessible gratuitement. </w:t>
      </w:r>
    </w:p>
    <w:p w:rsidR="00CE0CED" w:rsidRPr="006753A9" w:rsidRDefault="00CE0CED" w:rsidP="00CE0CED">
      <w:pPr>
        <w:rPr>
          <w:bCs/>
        </w:rPr>
      </w:pPr>
    </w:p>
    <w:p w:rsidR="00CE0CED" w:rsidRPr="006753A9" w:rsidRDefault="00CE0CED" w:rsidP="00CE0CED">
      <w:pPr>
        <w:ind w:left="-5" w:right="0"/>
      </w:pPr>
      <w:r w:rsidRPr="006753A9">
        <w:t xml:space="preserve">Ces documents seront remis par le candidat susceptible d'être retenu dans le délai de 8 jours à compter de la réception de la demande présentée par la commune de PIOLENC, coordonnateur du groupement de commandes chargé de l'accomplissement des formalités procédurales nécessaires au lancement de la procédure de passation. Faute d’avoir rempli ses obligations dans ce délai, le candidat pressenti verra son offre rejetée.  </w:t>
      </w:r>
    </w:p>
    <w:p w:rsidR="00CE0CED" w:rsidRDefault="00CE0CED" w:rsidP="00CE0CED">
      <w:pPr>
        <w:ind w:left="-5" w:right="0"/>
      </w:pPr>
      <w:r w:rsidRPr="006753A9">
        <w:t xml:space="preserve">Il est rappelé que le ou les signataires doivent être habilités à engager la société et doivent fournir à l’appui de la candidature les pièces le justifiant. </w:t>
      </w:r>
    </w:p>
    <w:p w:rsidR="001B0653" w:rsidRDefault="001B0653" w:rsidP="00CE0CED">
      <w:pPr>
        <w:ind w:left="-5" w:right="0"/>
      </w:pPr>
    </w:p>
    <w:p w:rsidR="001B0653" w:rsidRDefault="001B0653" w:rsidP="00CE0CED">
      <w:pPr>
        <w:ind w:left="-5" w:right="0"/>
      </w:pPr>
    </w:p>
    <w:p w:rsidR="001B0653" w:rsidRPr="006753A9" w:rsidRDefault="001B0653" w:rsidP="00CE0CED">
      <w:pPr>
        <w:ind w:left="-5" w:right="0"/>
      </w:pPr>
    </w:p>
    <w:p w:rsidR="00CE0CED" w:rsidRPr="006753A9" w:rsidRDefault="00CE0CED" w:rsidP="00CE0CED">
      <w:pPr>
        <w:rPr>
          <w:bCs/>
        </w:rPr>
      </w:pPr>
    </w:p>
    <w:p w:rsidR="00CE0CED" w:rsidRPr="006753A9" w:rsidRDefault="006753A9" w:rsidP="00CE0CED">
      <w:pPr>
        <w:pStyle w:val="Titre2"/>
        <w:ind w:left="0"/>
        <w:rPr>
          <w:sz w:val="22"/>
        </w:rPr>
      </w:pPr>
      <w:bookmarkStart w:id="3" w:name="_Toc486490696"/>
      <w:r>
        <w:rPr>
          <w:sz w:val="22"/>
        </w:rPr>
        <w:lastRenderedPageBreak/>
        <w:t>4-3</w:t>
      </w:r>
      <w:r w:rsidR="00CE0CED" w:rsidRPr="006753A9">
        <w:rPr>
          <w:sz w:val="22"/>
        </w:rPr>
        <w:t xml:space="preserve"> – Fournitures des justificatifs administratifs après la signature du marché</w:t>
      </w:r>
      <w:bookmarkEnd w:id="3"/>
    </w:p>
    <w:p w:rsidR="00CE0CED" w:rsidRPr="006753A9" w:rsidRDefault="00CE0CED" w:rsidP="00CE0CED">
      <w:pPr>
        <w:rPr>
          <w:bCs/>
          <w:color w:val="FF0000"/>
        </w:rPr>
      </w:pPr>
    </w:p>
    <w:p w:rsidR="001278BC" w:rsidRPr="006753A9" w:rsidRDefault="00CE0CED" w:rsidP="006753A9">
      <w:pPr>
        <w:rPr>
          <w:strike/>
        </w:rPr>
      </w:pPr>
      <w:r w:rsidRPr="006753A9">
        <w:t>Le candidat retenu s’engage à fournir à la collectivité, tous les 6 mois à compter de la notification et jusqu’au terme du marché, les documents prévus à l’article D 8222-5 ou D 8222-7 et D 8222-8 du Code du travail (attestation de vigilance URSSAF).</w:t>
      </w:r>
      <w:r w:rsidR="00FA5DCE" w:rsidRPr="006753A9">
        <w:rPr>
          <w:strike/>
        </w:rPr>
        <w:t xml:space="preserve"> </w:t>
      </w:r>
    </w:p>
    <w:p w:rsidR="001278BC" w:rsidRPr="006753A9" w:rsidRDefault="00FA5DCE">
      <w:pPr>
        <w:spacing w:after="45" w:line="259" w:lineRule="auto"/>
        <w:ind w:left="720" w:right="0" w:firstLine="0"/>
        <w:jc w:val="left"/>
      </w:pPr>
      <w:r w:rsidRPr="006753A9">
        <w:rPr>
          <w:b/>
        </w:rPr>
        <w:t xml:space="preserve"> </w:t>
      </w:r>
    </w:p>
    <w:p w:rsidR="001278BC" w:rsidRPr="00BC7551" w:rsidRDefault="001278BC">
      <w:pPr>
        <w:spacing w:after="0" w:line="259" w:lineRule="auto"/>
        <w:ind w:left="0" w:right="0" w:firstLine="0"/>
        <w:jc w:val="left"/>
        <w:rPr>
          <w:b/>
        </w:rPr>
      </w:pPr>
    </w:p>
    <w:p w:rsidR="001278BC" w:rsidRPr="00BC7551" w:rsidRDefault="00FA5DCE">
      <w:pPr>
        <w:pStyle w:val="Titre2"/>
        <w:ind w:left="-5"/>
        <w:rPr>
          <w:b/>
          <w:sz w:val="22"/>
          <w:u w:val="none"/>
        </w:rPr>
      </w:pPr>
      <w:r w:rsidRPr="00BC7551">
        <w:rPr>
          <w:b/>
          <w:sz w:val="22"/>
          <w:u w:val="none"/>
        </w:rPr>
        <w:t>Article 5</w:t>
      </w:r>
      <w:r w:rsidR="00BC7551">
        <w:rPr>
          <w:b/>
          <w:sz w:val="22"/>
          <w:u w:val="none"/>
        </w:rPr>
        <w:t> :</w:t>
      </w:r>
      <w:r w:rsidRPr="00BC7551">
        <w:rPr>
          <w:b/>
          <w:sz w:val="22"/>
          <w:u w:val="none"/>
        </w:rPr>
        <w:t xml:space="preserve"> Langue et unité monétaire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26"/>
        <w:ind w:left="-5" w:right="0"/>
      </w:pPr>
      <w:r w:rsidRPr="006753A9">
        <w:t xml:space="preserve">Les offres doivent être rédigées en langue française.  </w:t>
      </w:r>
    </w:p>
    <w:p w:rsidR="001278BC" w:rsidRPr="006753A9" w:rsidRDefault="00FA5DCE">
      <w:pPr>
        <w:ind w:left="-5" w:right="0"/>
      </w:pPr>
      <w:r w:rsidRPr="006753A9">
        <w:t xml:space="preserve">Le pouvoir adjudicateur conclura le marché dans l’unité monétaire suivante : euro. </w:t>
      </w:r>
    </w:p>
    <w:p w:rsidR="001278BC" w:rsidRPr="006753A9" w:rsidRDefault="00FA5DCE">
      <w:pPr>
        <w:spacing w:after="29" w:line="259" w:lineRule="auto"/>
        <w:ind w:left="708" w:right="0" w:firstLine="0"/>
        <w:jc w:val="left"/>
      </w:pPr>
      <w:r w:rsidRPr="006753A9">
        <w:t xml:space="preserve"> </w:t>
      </w:r>
    </w:p>
    <w:p w:rsidR="001278BC" w:rsidRPr="00BC7551" w:rsidRDefault="00FA5DCE" w:rsidP="006753A9">
      <w:pPr>
        <w:pStyle w:val="Titre2"/>
        <w:ind w:left="-5"/>
        <w:rPr>
          <w:b/>
          <w:sz w:val="22"/>
          <w:u w:val="none"/>
        </w:rPr>
      </w:pPr>
      <w:r w:rsidRPr="00BC7551">
        <w:rPr>
          <w:b/>
          <w:sz w:val="22"/>
          <w:u w:val="none"/>
        </w:rPr>
        <w:t xml:space="preserve">Article </w:t>
      </w:r>
      <w:r w:rsidR="006753A9" w:rsidRPr="00BC7551">
        <w:rPr>
          <w:b/>
          <w:sz w:val="22"/>
          <w:u w:val="none"/>
        </w:rPr>
        <w:t>6</w:t>
      </w:r>
      <w:r w:rsidR="00BC7551">
        <w:rPr>
          <w:b/>
          <w:sz w:val="22"/>
          <w:u w:val="none"/>
        </w:rPr>
        <w:t> :</w:t>
      </w:r>
      <w:r w:rsidRPr="00BC7551">
        <w:rPr>
          <w:b/>
          <w:sz w:val="22"/>
          <w:u w:val="none"/>
        </w:rPr>
        <w:t xml:space="preserve"> Condition d’envoi ou de remise des plis  </w:t>
      </w:r>
    </w:p>
    <w:p w:rsidR="00CE0CED" w:rsidRPr="006753A9" w:rsidRDefault="00CE0CED">
      <w:pPr>
        <w:ind w:left="-5" w:right="0"/>
        <w:rPr>
          <w:strike/>
        </w:rPr>
      </w:pPr>
    </w:p>
    <w:p w:rsidR="00CE0CED" w:rsidRPr="006753A9" w:rsidRDefault="00CE0CED" w:rsidP="00CE0CED">
      <w:pPr>
        <w:rPr>
          <w:bCs/>
        </w:rPr>
      </w:pPr>
      <w:r w:rsidRPr="006753A9">
        <w:rPr>
          <w:bCs/>
        </w:rPr>
        <w:t>Les candidats ont la faculté de présenter leur offre sous forme papier ou sous forme dématérialisée.</w:t>
      </w:r>
    </w:p>
    <w:p w:rsidR="00CE0CED" w:rsidRPr="006753A9" w:rsidRDefault="00CE0CED" w:rsidP="00CE0CED">
      <w:pPr>
        <w:rPr>
          <w:bCs/>
        </w:rPr>
      </w:pPr>
      <w:r w:rsidRPr="006753A9">
        <w:rPr>
          <w:bCs/>
        </w:rPr>
        <w:t xml:space="preserve">Il n'est toutefois pas permis de combiner ces deux formes de réponses. </w:t>
      </w:r>
      <w:r w:rsidRPr="006753A9">
        <w:rPr>
          <w:b/>
          <w:bCs/>
          <w:u w:val="single"/>
        </w:rPr>
        <w:t>Les candidats doivent donc choisir entre la transmission par voie électronique ou l'envoi sur support papier.</w:t>
      </w:r>
    </w:p>
    <w:p w:rsidR="00CE0CED" w:rsidRPr="006753A9" w:rsidRDefault="00CE0CED" w:rsidP="00CE0CED">
      <w:pPr>
        <w:rPr>
          <w:bCs/>
        </w:rPr>
      </w:pPr>
    </w:p>
    <w:p w:rsidR="00CE0CED" w:rsidRPr="006753A9" w:rsidRDefault="00CE0CED" w:rsidP="00CE0CED">
      <w:pPr>
        <w:rPr>
          <w:bCs/>
        </w:rPr>
      </w:pPr>
      <w:r w:rsidRPr="006753A9">
        <w:rPr>
          <w:bCs/>
        </w:rPr>
        <w:t>Quel que soit le mode de transmission de leur offre :</w:t>
      </w:r>
    </w:p>
    <w:p w:rsidR="00CE0CED" w:rsidRPr="006753A9" w:rsidRDefault="00CE0CED" w:rsidP="00CE0CED">
      <w:pPr>
        <w:numPr>
          <w:ilvl w:val="0"/>
          <w:numId w:val="21"/>
        </w:numPr>
        <w:suppressAutoHyphens/>
        <w:spacing w:after="0" w:line="240" w:lineRule="auto"/>
        <w:ind w:right="0"/>
        <w:rPr>
          <w:bCs/>
        </w:rPr>
      </w:pPr>
      <w:proofErr w:type="gramStart"/>
      <w:r w:rsidRPr="006753A9">
        <w:rPr>
          <w:bCs/>
        </w:rPr>
        <w:t>il</w:t>
      </w:r>
      <w:proofErr w:type="gramEnd"/>
      <w:r w:rsidRPr="006753A9">
        <w:rPr>
          <w:bCs/>
        </w:rPr>
        <w:t xml:space="preserve"> appartient aux candidats de prendre les mesures nécessaires pour tenir compte des délais de transmission. </w:t>
      </w:r>
    </w:p>
    <w:p w:rsidR="00CE0CED" w:rsidRPr="006753A9" w:rsidRDefault="00CE0CED" w:rsidP="00CE0CED">
      <w:pPr>
        <w:numPr>
          <w:ilvl w:val="0"/>
          <w:numId w:val="21"/>
        </w:numPr>
        <w:suppressAutoHyphens/>
        <w:spacing w:after="0" w:line="240" w:lineRule="auto"/>
        <w:ind w:right="0"/>
        <w:rPr>
          <w:bCs/>
        </w:rPr>
      </w:pPr>
      <w:proofErr w:type="gramStart"/>
      <w:r w:rsidRPr="006753A9">
        <w:rPr>
          <w:bCs/>
        </w:rPr>
        <w:t>seuls</w:t>
      </w:r>
      <w:proofErr w:type="gramEnd"/>
      <w:r w:rsidRPr="006753A9">
        <w:rPr>
          <w:bCs/>
        </w:rPr>
        <w:t xml:space="preserve"> seront ouverts les plis qui auront été reçus ou déposés avant la date et heure limites figurant en page de garde du présent règlement.</w:t>
      </w:r>
    </w:p>
    <w:p w:rsidR="00CE0CED" w:rsidRPr="006753A9" w:rsidRDefault="00CE0CED" w:rsidP="00CE0CED">
      <w:pPr>
        <w:numPr>
          <w:ilvl w:val="0"/>
          <w:numId w:val="21"/>
        </w:numPr>
        <w:suppressAutoHyphens/>
        <w:spacing w:after="0" w:line="240" w:lineRule="auto"/>
        <w:ind w:right="0"/>
        <w:rPr>
          <w:bCs/>
        </w:rPr>
      </w:pPr>
      <w:r w:rsidRPr="006753A9">
        <w:rPr>
          <w:bCs/>
        </w:rPr>
        <w:t>Les offres transmises sans matérialité (mail, fax) ne sont pas acceptées.</w:t>
      </w:r>
    </w:p>
    <w:p w:rsidR="00CE0CED" w:rsidRPr="006753A9" w:rsidRDefault="00CE0CED">
      <w:pPr>
        <w:ind w:left="-5" w:right="0"/>
        <w:rPr>
          <w:strike/>
        </w:rPr>
      </w:pPr>
    </w:p>
    <w:p w:rsidR="001278BC" w:rsidRPr="006753A9" w:rsidRDefault="00FA5DCE">
      <w:pPr>
        <w:spacing w:after="0" w:line="259" w:lineRule="auto"/>
        <w:ind w:left="0" w:right="0" w:firstLine="0"/>
        <w:jc w:val="left"/>
      </w:pPr>
      <w:r w:rsidRPr="006753A9">
        <w:t xml:space="preserve"> </w:t>
      </w:r>
    </w:p>
    <w:p w:rsidR="001278BC" w:rsidRPr="006753A9" w:rsidRDefault="00FA5DCE">
      <w:pPr>
        <w:tabs>
          <w:tab w:val="center" w:pos="397"/>
          <w:tab w:val="center" w:pos="3211"/>
        </w:tabs>
        <w:spacing w:after="0" w:line="259" w:lineRule="auto"/>
        <w:ind w:left="0" w:right="0" w:firstLine="0"/>
        <w:jc w:val="left"/>
      </w:pPr>
      <w:r w:rsidRPr="006753A9">
        <w:rPr>
          <w:rFonts w:eastAsia="Calibri"/>
        </w:rPr>
        <w:tab/>
      </w:r>
      <w:r w:rsidRPr="006753A9">
        <w:rPr>
          <w:rFonts w:eastAsia="Times New Roman"/>
        </w:rPr>
        <w:t>-</w:t>
      </w:r>
      <w:r w:rsidRPr="006753A9">
        <w:t xml:space="preserve"> </w:t>
      </w:r>
      <w:r w:rsidRPr="006753A9">
        <w:tab/>
      </w:r>
      <w:r w:rsidR="006753A9">
        <w:rPr>
          <w:i/>
          <w:u w:val="single" w:color="000000"/>
        </w:rPr>
        <w:t>6-1</w:t>
      </w:r>
      <w:r w:rsidRPr="006753A9">
        <w:rPr>
          <w:i/>
          <w:u w:val="single" w:color="000000"/>
        </w:rPr>
        <w:t xml:space="preserve"> Procédure classique d'envoi des propositions</w:t>
      </w:r>
      <w:r w:rsidRPr="006753A9">
        <w:rPr>
          <w:i/>
        </w:rPr>
        <w:t xml:space="preserve"> </w:t>
      </w:r>
    </w:p>
    <w:p w:rsidR="001278BC" w:rsidRPr="006753A9" w:rsidRDefault="00FA5DCE">
      <w:pPr>
        <w:spacing w:after="0" w:line="259" w:lineRule="auto"/>
        <w:ind w:left="360" w:right="0" w:firstLine="0"/>
        <w:jc w:val="left"/>
      </w:pPr>
      <w:r w:rsidRPr="006753A9">
        <w:t xml:space="preserve"> </w:t>
      </w:r>
    </w:p>
    <w:p w:rsidR="001278BC" w:rsidRPr="006753A9" w:rsidRDefault="00FA5DCE">
      <w:pPr>
        <w:ind w:left="-5" w:right="0"/>
      </w:pPr>
      <w:r w:rsidRPr="006753A9">
        <w:t xml:space="preserve">Les offres devront :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rPr>
          <w:rFonts w:eastAsia="Wingdings"/>
        </w:rPr>
        <w:t></w:t>
      </w:r>
      <w:r w:rsidRPr="006753A9">
        <w:t xml:space="preserve"> soit être remises, sous pli cacheté, contre récépissé à l'adresse suivante : </w:t>
      </w:r>
    </w:p>
    <w:p w:rsidR="001278BC" w:rsidRPr="006753A9" w:rsidRDefault="00FA5DCE">
      <w:pPr>
        <w:spacing w:after="98" w:line="259" w:lineRule="auto"/>
        <w:ind w:left="0" w:right="0" w:firstLine="0"/>
        <w:jc w:val="left"/>
      </w:pPr>
      <w:r w:rsidRPr="006753A9">
        <w:t xml:space="preserve"> </w:t>
      </w:r>
    </w:p>
    <w:p w:rsidR="001278BC" w:rsidRPr="006753A9" w:rsidRDefault="00FA5DCE">
      <w:pPr>
        <w:spacing w:after="5" w:line="250" w:lineRule="auto"/>
        <w:ind w:left="1263" w:right="1260"/>
        <w:jc w:val="center"/>
      </w:pPr>
      <w:r w:rsidRPr="006753A9">
        <w:t xml:space="preserve">Monsieur le Maire </w:t>
      </w:r>
    </w:p>
    <w:p w:rsidR="001278BC" w:rsidRPr="006753A9" w:rsidRDefault="00FA5DCE">
      <w:pPr>
        <w:spacing w:after="5" w:line="250" w:lineRule="auto"/>
        <w:ind w:left="1263" w:right="1255"/>
        <w:jc w:val="center"/>
      </w:pPr>
      <w:r w:rsidRPr="006753A9">
        <w:t>Mairie de PIOLENC</w:t>
      </w:r>
    </w:p>
    <w:p w:rsidR="00FA5DCE" w:rsidRPr="006753A9" w:rsidRDefault="00FA5DCE">
      <w:pPr>
        <w:spacing w:after="5" w:line="250" w:lineRule="auto"/>
        <w:ind w:left="1263" w:right="1259"/>
        <w:jc w:val="center"/>
      </w:pPr>
      <w:r w:rsidRPr="006753A9">
        <w:t>6 Rue Jean MOULIN</w:t>
      </w:r>
    </w:p>
    <w:p w:rsidR="001278BC" w:rsidRPr="006753A9" w:rsidRDefault="00FA5DCE">
      <w:pPr>
        <w:spacing w:after="5" w:line="250" w:lineRule="auto"/>
        <w:ind w:left="1263" w:right="1259"/>
        <w:jc w:val="center"/>
      </w:pPr>
      <w:r w:rsidRPr="006753A9">
        <w:t xml:space="preserve">BP 1 </w:t>
      </w:r>
    </w:p>
    <w:p w:rsidR="001278BC" w:rsidRPr="006753A9" w:rsidRDefault="00FA5DCE">
      <w:pPr>
        <w:spacing w:after="29" w:line="250" w:lineRule="auto"/>
        <w:ind w:left="1263" w:right="1259"/>
        <w:jc w:val="center"/>
      </w:pPr>
      <w:r w:rsidRPr="006753A9">
        <w:t>84 420 PIOLENC</w:t>
      </w:r>
    </w:p>
    <w:p w:rsidR="001278BC" w:rsidRPr="006753A9" w:rsidRDefault="00FA5DCE">
      <w:pPr>
        <w:spacing w:after="5" w:line="250" w:lineRule="auto"/>
        <w:ind w:left="1263" w:right="1193"/>
        <w:jc w:val="center"/>
      </w:pPr>
      <w:r w:rsidRPr="006753A9">
        <w:t xml:space="preserve">Horaires d’ouverture : Tous les </w:t>
      </w:r>
      <w:proofErr w:type="gramStart"/>
      <w:r w:rsidRPr="006753A9">
        <w:t>jours  de</w:t>
      </w:r>
      <w:proofErr w:type="gramEnd"/>
      <w:r w:rsidRPr="006753A9">
        <w:t xml:space="preserve"> 8h00 à 12h00 et de 14h00 à 18h00, sauf jours fériés. </w:t>
      </w: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3"/>
        <w:ind w:left="-5"/>
      </w:pPr>
      <w:proofErr w:type="gramStart"/>
      <w:r w:rsidRPr="006753A9">
        <w:t>avant</w:t>
      </w:r>
      <w:proofErr w:type="gramEnd"/>
      <w:r w:rsidRPr="006753A9">
        <w:t xml:space="preserve"> la date indiquée dans la page de garde du présent règlement de la consultation</w:t>
      </w:r>
      <w:r w:rsidRPr="006753A9">
        <w:rPr>
          <w:u w:val="none"/>
        </w:rPr>
        <w:t xml:space="preserve"> </w:t>
      </w:r>
    </w:p>
    <w:p w:rsidR="001278BC" w:rsidRPr="006753A9" w:rsidRDefault="00FA5DCE">
      <w:pPr>
        <w:spacing w:after="3" w:line="259" w:lineRule="auto"/>
        <w:ind w:left="0" w:right="0" w:firstLine="0"/>
        <w:jc w:val="left"/>
      </w:pPr>
      <w:r w:rsidRPr="006753A9">
        <w:t xml:space="preserve"> </w:t>
      </w:r>
    </w:p>
    <w:p w:rsidR="001278BC" w:rsidRPr="006753A9" w:rsidRDefault="00FA5DCE">
      <w:pPr>
        <w:ind w:left="-5" w:right="0"/>
      </w:pPr>
      <w:r w:rsidRPr="006753A9">
        <w:rPr>
          <w:rFonts w:eastAsia="Wingdings"/>
        </w:rPr>
        <w:t></w:t>
      </w:r>
      <w:r w:rsidRPr="006753A9">
        <w:t xml:space="preserve"> soit être envoyées par la poste (toujours sous pli cacheté) par pli recommandé avec accusé de réception, à l'adresse ci-dessous : </w:t>
      </w:r>
    </w:p>
    <w:p w:rsidR="001278BC" w:rsidRPr="006753A9" w:rsidRDefault="00FA5DCE">
      <w:pPr>
        <w:spacing w:after="120" w:line="259" w:lineRule="auto"/>
        <w:ind w:left="0" w:right="0" w:firstLine="0"/>
        <w:jc w:val="left"/>
      </w:pPr>
      <w:r w:rsidRPr="006753A9">
        <w:t xml:space="preserve"> </w:t>
      </w:r>
    </w:p>
    <w:p w:rsidR="001278BC" w:rsidRPr="006753A9" w:rsidRDefault="00FA5DCE">
      <w:pPr>
        <w:spacing w:after="47" w:line="250" w:lineRule="auto"/>
        <w:ind w:left="1263" w:right="1260"/>
        <w:jc w:val="center"/>
      </w:pPr>
      <w:r w:rsidRPr="006753A9">
        <w:t xml:space="preserve">Monsieur le Maire </w:t>
      </w:r>
    </w:p>
    <w:p w:rsidR="001278BC" w:rsidRPr="006753A9" w:rsidRDefault="00FA5DCE">
      <w:pPr>
        <w:spacing w:after="47" w:line="250" w:lineRule="auto"/>
        <w:ind w:left="1263" w:right="1255"/>
        <w:jc w:val="center"/>
      </w:pPr>
      <w:r w:rsidRPr="006753A9">
        <w:t>Mairie de PIOLENC</w:t>
      </w:r>
    </w:p>
    <w:p w:rsidR="001278BC" w:rsidRPr="006753A9" w:rsidRDefault="00FA5DCE">
      <w:pPr>
        <w:spacing w:after="42" w:line="250" w:lineRule="auto"/>
        <w:ind w:left="3839" w:right="3769"/>
        <w:jc w:val="center"/>
      </w:pPr>
      <w:r w:rsidRPr="006753A9">
        <w:t>6 Rue Jean Moulin BP 1</w:t>
      </w:r>
    </w:p>
    <w:p w:rsidR="00FA5DCE" w:rsidRPr="006753A9" w:rsidRDefault="00FA5DCE">
      <w:pPr>
        <w:spacing w:after="42" w:line="250" w:lineRule="auto"/>
        <w:ind w:left="3839" w:right="3769"/>
        <w:jc w:val="center"/>
      </w:pPr>
      <w:r w:rsidRPr="006753A9">
        <w:t>84 420 PIOLENC</w:t>
      </w:r>
    </w:p>
    <w:p w:rsidR="00FA5DCE" w:rsidRPr="006753A9" w:rsidRDefault="00FA5DCE">
      <w:pPr>
        <w:spacing w:after="42" w:line="250" w:lineRule="auto"/>
        <w:ind w:left="3839" w:right="3769"/>
        <w:jc w:val="center"/>
      </w:pPr>
    </w:p>
    <w:p w:rsidR="001278BC" w:rsidRDefault="00FA5DCE">
      <w:pPr>
        <w:pStyle w:val="Titre3"/>
        <w:ind w:left="-5"/>
        <w:rPr>
          <w:u w:val="none"/>
        </w:rPr>
      </w:pPr>
      <w:proofErr w:type="gramStart"/>
      <w:r w:rsidRPr="006753A9">
        <w:t>avant</w:t>
      </w:r>
      <w:proofErr w:type="gramEnd"/>
      <w:r w:rsidRPr="006753A9">
        <w:t xml:space="preserve"> la date indiquée dans la page de garde du présent règlement de consultation</w:t>
      </w:r>
      <w:r w:rsidRPr="006753A9">
        <w:rPr>
          <w:u w:val="none"/>
        </w:rPr>
        <w:t xml:space="preserve"> </w:t>
      </w:r>
    </w:p>
    <w:p w:rsidR="001B0653" w:rsidRPr="001B0653" w:rsidRDefault="001B0653" w:rsidP="001B0653"/>
    <w:p w:rsidR="001278BC" w:rsidRPr="006753A9" w:rsidRDefault="00FA5DCE">
      <w:pPr>
        <w:ind w:left="-5" w:right="0"/>
      </w:pPr>
      <w:r w:rsidRPr="006753A9">
        <w:t xml:space="preserve">Il devra être apposé sur ce pli :  </w:t>
      </w:r>
    </w:p>
    <w:p w:rsidR="001278BC" w:rsidRPr="006753A9" w:rsidRDefault="00FA5DCE">
      <w:pPr>
        <w:spacing w:after="156" w:line="259" w:lineRule="auto"/>
        <w:ind w:left="0" w:right="0" w:firstLine="0"/>
        <w:jc w:val="left"/>
      </w:pPr>
      <w:r w:rsidRPr="006753A9">
        <w:t xml:space="preserve"> </w:t>
      </w:r>
    </w:p>
    <w:p w:rsidR="00FA5DCE" w:rsidRPr="006753A9" w:rsidRDefault="00FA5DCE" w:rsidP="00FA5DCE">
      <w:pPr>
        <w:spacing w:line="253" w:lineRule="auto"/>
        <w:ind w:right="0"/>
        <w:jc w:val="center"/>
        <w:rPr>
          <w:b/>
        </w:rPr>
      </w:pPr>
      <w:r w:rsidRPr="006753A9">
        <w:rPr>
          <w:b/>
        </w:rPr>
        <w:t>« Offre pour le marché de maîtrise d’œuvre pour les travaux connexes à l’aménagement foncier, agricole et forestier lié à la réalisation de la L</w:t>
      </w:r>
      <w:r w:rsidR="00744B8D" w:rsidRPr="006753A9">
        <w:rPr>
          <w:b/>
        </w:rPr>
        <w:t>GV Méditerranée</w:t>
      </w:r>
    </w:p>
    <w:p w:rsidR="001278BC" w:rsidRPr="006753A9" w:rsidRDefault="00FA5DCE">
      <w:pPr>
        <w:spacing w:after="233" w:line="253" w:lineRule="auto"/>
        <w:jc w:val="center"/>
      </w:pPr>
      <w:proofErr w:type="gramStart"/>
      <w:r w:rsidRPr="006753A9">
        <w:rPr>
          <w:b/>
        </w:rPr>
        <w:t>sur</w:t>
      </w:r>
      <w:proofErr w:type="gramEnd"/>
      <w:r w:rsidRPr="006753A9">
        <w:rPr>
          <w:b/>
        </w:rPr>
        <w:t xml:space="preserve"> le territoire des communes de Caderousse, Mornas, Orange et Piolenc</w:t>
      </w:r>
      <w:r w:rsidR="00744B8D" w:rsidRPr="006753A9">
        <w:rPr>
          <w:b/>
        </w:rPr>
        <w:t xml:space="preserve"> et l’AFAFAF</w:t>
      </w:r>
      <w:r w:rsidRPr="006753A9">
        <w:rPr>
          <w:b/>
        </w:rPr>
        <w:t>»</w:t>
      </w:r>
      <w:r w:rsidRPr="006753A9">
        <w:t xml:space="preserve"> </w:t>
      </w:r>
    </w:p>
    <w:p w:rsidR="001278BC" w:rsidRPr="006753A9" w:rsidRDefault="00FA5DCE" w:rsidP="00744B8D">
      <w:pPr>
        <w:pStyle w:val="Titre1"/>
        <w:spacing w:after="184"/>
        <w:ind w:left="0" w:right="10" w:firstLine="0"/>
        <w:jc w:val="center"/>
        <w:rPr>
          <w:sz w:val="22"/>
        </w:rPr>
      </w:pPr>
      <w:r w:rsidRPr="006753A9">
        <w:rPr>
          <w:sz w:val="22"/>
        </w:rPr>
        <w:t xml:space="preserve">NE PAS OUVRIR  </w:t>
      </w:r>
    </w:p>
    <w:p w:rsidR="001278BC" w:rsidRPr="006753A9" w:rsidRDefault="00FA5DCE" w:rsidP="00744B8D">
      <w:pPr>
        <w:ind w:left="713" w:right="289" w:firstLine="0"/>
        <w:jc w:val="left"/>
      </w:pPr>
      <w:r w:rsidRPr="006753A9">
        <w:t xml:space="preserve"> </w:t>
      </w:r>
    </w:p>
    <w:p w:rsidR="001278BC" w:rsidRPr="006753A9" w:rsidRDefault="00FA5DCE">
      <w:pPr>
        <w:spacing w:after="103" w:line="259" w:lineRule="auto"/>
        <w:ind w:left="0" w:right="0" w:firstLine="0"/>
        <w:jc w:val="left"/>
      </w:pPr>
      <w:r w:rsidRPr="006753A9">
        <w:t xml:space="preserve"> </w:t>
      </w:r>
    </w:p>
    <w:p w:rsidR="001278BC" w:rsidRPr="006753A9" w:rsidRDefault="00FA5DCE">
      <w:pPr>
        <w:ind w:left="-5" w:right="0"/>
      </w:pPr>
      <w:r w:rsidRPr="006753A9">
        <w:t xml:space="preserve">Les dossiers qui seraient remis contre récépissé après la date et l’heure limites ou dont l'avis de réception serait délivré après la date et l'heure limites fixées en première page du présent règlement de consultation ainsi que ceux remis sous enveloppe non cachetée, ne seront pas retenus. Ils seront renvoyés à leurs auteurs. </w:t>
      </w:r>
    </w:p>
    <w:p w:rsidR="001278BC" w:rsidRPr="006753A9" w:rsidRDefault="00FA5DCE">
      <w:pPr>
        <w:spacing w:after="2" w:line="259" w:lineRule="auto"/>
        <w:ind w:left="0" w:right="0" w:firstLine="0"/>
        <w:jc w:val="left"/>
      </w:pPr>
      <w:r w:rsidRPr="006753A9">
        <w:t xml:space="preserve"> </w:t>
      </w:r>
    </w:p>
    <w:p w:rsidR="00744B8D" w:rsidRPr="006753A9" w:rsidRDefault="00744B8D">
      <w:pPr>
        <w:spacing w:after="2" w:line="259" w:lineRule="auto"/>
        <w:ind w:left="0" w:right="0" w:firstLine="0"/>
        <w:jc w:val="left"/>
      </w:pPr>
    </w:p>
    <w:p w:rsidR="00744B8D" w:rsidRPr="006753A9" w:rsidRDefault="00744B8D">
      <w:pPr>
        <w:spacing w:after="2" w:line="259" w:lineRule="auto"/>
        <w:ind w:left="0" w:right="0" w:firstLine="0"/>
        <w:jc w:val="left"/>
      </w:pPr>
    </w:p>
    <w:p w:rsidR="001278BC" w:rsidRPr="006753A9" w:rsidRDefault="006753A9">
      <w:pPr>
        <w:numPr>
          <w:ilvl w:val="0"/>
          <w:numId w:val="9"/>
        </w:numPr>
        <w:spacing w:after="0" w:line="259" w:lineRule="auto"/>
        <w:ind w:left="713" w:right="289" w:hanging="360"/>
        <w:jc w:val="left"/>
      </w:pPr>
      <w:r>
        <w:rPr>
          <w:i/>
          <w:u w:val="single" w:color="000000"/>
        </w:rPr>
        <w:t>6</w:t>
      </w:r>
      <w:r w:rsidR="00FA5DCE" w:rsidRPr="006753A9">
        <w:rPr>
          <w:i/>
          <w:u w:val="single" w:color="000000"/>
        </w:rPr>
        <w:t>-2 Procédure dématérialisée d'envoi des propositions</w:t>
      </w:r>
      <w:r w:rsidR="00FA5DCE" w:rsidRPr="006753A9">
        <w:rPr>
          <w:i/>
        </w:rPr>
        <w:t xml:space="preserve"> </w:t>
      </w:r>
    </w:p>
    <w:p w:rsidR="001278BC" w:rsidRPr="006753A9" w:rsidRDefault="00FA5DCE">
      <w:pPr>
        <w:spacing w:after="103" w:line="259" w:lineRule="auto"/>
        <w:ind w:left="0" w:right="0" w:firstLine="0"/>
        <w:jc w:val="left"/>
      </w:pP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Les candidats sont autorisés à remettre, par voie électronique, leurs plis à l’adresse suivante</w:t>
      </w:r>
      <w:r w:rsidR="008F22F7" w:rsidRPr="006753A9">
        <w:t> : contact@mairie-piolenc.fr</w:t>
      </w: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Les dossiers devront être parvenus avant l’heure et la date de clôture indiquée sur la première page. </w:t>
      </w:r>
    </w:p>
    <w:p w:rsidR="001278BC" w:rsidRPr="006753A9" w:rsidRDefault="00FA5DCE">
      <w:pPr>
        <w:spacing w:after="103" w:line="259" w:lineRule="auto"/>
        <w:ind w:left="0" w:right="0" w:firstLine="0"/>
        <w:jc w:val="left"/>
      </w:pPr>
      <w:r w:rsidRPr="006753A9">
        <w:t xml:space="preserve"> </w:t>
      </w:r>
    </w:p>
    <w:p w:rsidR="001278BC" w:rsidRPr="006753A9" w:rsidRDefault="00FA5DCE">
      <w:pPr>
        <w:spacing w:after="12" w:line="259" w:lineRule="auto"/>
        <w:ind w:left="708" w:right="0" w:firstLine="0"/>
        <w:jc w:val="left"/>
      </w:pPr>
      <w:r w:rsidRPr="006753A9">
        <w:t xml:space="preserve"> </w:t>
      </w:r>
    </w:p>
    <w:p w:rsidR="001278BC" w:rsidRPr="006753A9" w:rsidRDefault="00FA5DCE">
      <w:pPr>
        <w:ind w:left="-5" w:right="0"/>
      </w:pPr>
      <w:r w:rsidRPr="006753A9">
        <w:t xml:space="preserve">La proposition déposée par l’intermédiaire de la plateforme de dématérialisation peut également contenir un sous dossier avec les pièces relatives à la candidature, et un sous-dossier par lot contenant l’offre. </w:t>
      </w:r>
    </w:p>
    <w:p w:rsidR="001278BC" w:rsidRPr="006753A9" w:rsidRDefault="00FA5DCE">
      <w:pPr>
        <w:spacing w:after="101" w:line="259" w:lineRule="auto"/>
        <w:ind w:left="0" w:right="0" w:firstLine="0"/>
        <w:jc w:val="left"/>
      </w:pPr>
      <w:r w:rsidRPr="006753A9">
        <w:t xml:space="preserve"> </w:t>
      </w:r>
    </w:p>
    <w:p w:rsidR="006753A9" w:rsidRPr="006753A9" w:rsidRDefault="00FA5DCE">
      <w:pPr>
        <w:ind w:left="-5" w:right="0"/>
      </w:pPr>
      <w:r w:rsidRPr="006753A9">
        <w:t xml:space="preserve">En plus des formats Acrobat, Word, Excel, Zip, les fichiers images .jpg </w:t>
      </w:r>
      <w:proofErr w:type="gramStart"/>
      <w:r w:rsidRPr="006753A9">
        <w:t>ou</w:t>
      </w:r>
      <w:proofErr w:type="gramEnd"/>
      <w:r w:rsidRPr="006753A9">
        <w:t xml:space="preserve"> .png et les fichiers cartographiques</w:t>
      </w:r>
      <w:r w:rsidR="008F22F7" w:rsidRPr="006753A9">
        <w:t xml:space="preserve"> </w:t>
      </w:r>
      <w:proofErr w:type="spellStart"/>
      <w:r w:rsidRPr="006753A9">
        <w:t>dwg</w:t>
      </w:r>
      <w:proofErr w:type="spellEnd"/>
      <w:r w:rsidRPr="006753A9">
        <w:t xml:space="preserve"> sont acceptés.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rsidP="006753A9">
      <w:pPr>
        <w:pStyle w:val="Titre1"/>
        <w:ind w:left="-5"/>
        <w:rPr>
          <w:sz w:val="22"/>
        </w:rPr>
      </w:pPr>
      <w:r w:rsidRPr="006753A9">
        <w:rPr>
          <w:sz w:val="22"/>
        </w:rPr>
        <w:t xml:space="preserve">Article </w:t>
      </w:r>
      <w:r w:rsidR="006753A9">
        <w:rPr>
          <w:sz w:val="22"/>
        </w:rPr>
        <w:t>7</w:t>
      </w:r>
      <w:r w:rsidRPr="006753A9">
        <w:rPr>
          <w:sz w:val="22"/>
        </w:rPr>
        <w:t xml:space="preserve"> : Jugement des propositions </w:t>
      </w:r>
    </w:p>
    <w:p w:rsidR="001278BC" w:rsidRPr="006753A9" w:rsidRDefault="001278BC">
      <w:pPr>
        <w:ind w:left="-5" w:right="0"/>
        <w:rPr>
          <w:strike/>
        </w:rPr>
      </w:pPr>
    </w:p>
    <w:p w:rsidR="00CE0CED" w:rsidRPr="006753A9" w:rsidRDefault="00CE0CED">
      <w:pPr>
        <w:ind w:left="-5" w:right="0"/>
        <w:rPr>
          <w:strike/>
        </w:rPr>
      </w:pPr>
    </w:p>
    <w:p w:rsidR="00CE0CED" w:rsidRPr="006753A9" w:rsidRDefault="00CE0CED" w:rsidP="00CE0CED">
      <w:pPr>
        <w:rPr>
          <w:bCs/>
        </w:rPr>
      </w:pPr>
      <w:r w:rsidRPr="006753A9">
        <w:rPr>
          <w:bCs/>
        </w:rPr>
        <w:t>Conformément à l'article 55, les candidatures seront sélectionnées sur les capacités professionnelles, techniques et financières des candidats. En cas de groupement, l'appréciation des capacités professionnelles, techniques et financières s'effectuera de manière globale.</w:t>
      </w:r>
    </w:p>
    <w:p w:rsidR="00CE0CED" w:rsidRPr="006753A9" w:rsidRDefault="00CE0CED">
      <w:pPr>
        <w:ind w:left="-5" w:right="0"/>
        <w:rPr>
          <w:strike/>
        </w:rPr>
      </w:pPr>
    </w:p>
    <w:p w:rsidR="001278BC" w:rsidRPr="006753A9" w:rsidRDefault="00FA5DCE">
      <w:pPr>
        <w:spacing w:after="0" w:line="259" w:lineRule="auto"/>
        <w:ind w:left="0" w:right="0" w:firstLine="0"/>
        <w:jc w:val="left"/>
      </w:pPr>
      <w:r w:rsidRPr="006753A9">
        <w:t xml:space="preserve"> </w:t>
      </w:r>
    </w:p>
    <w:p w:rsidR="001278BC" w:rsidRPr="006753A9" w:rsidRDefault="00FA5DCE" w:rsidP="006753A9">
      <w:pPr>
        <w:pStyle w:val="Titre2"/>
        <w:ind w:left="-5"/>
        <w:rPr>
          <w:sz w:val="22"/>
        </w:rPr>
      </w:pPr>
      <w:r w:rsidRPr="006753A9">
        <w:rPr>
          <w:sz w:val="22"/>
        </w:rPr>
        <w:t xml:space="preserve">Article </w:t>
      </w:r>
      <w:r w:rsidR="006753A9">
        <w:rPr>
          <w:sz w:val="22"/>
        </w:rPr>
        <w:t>7</w:t>
      </w:r>
      <w:r w:rsidRPr="006753A9">
        <w:rPr>
          <w:sz w:val="22"/>
        </w:rPr>
        <w:t xml:space="preserve">-1 Critères de jugement des </w:t>
      </w:r>
      <w:r w:rsidR="008F22F7" w:rsidRPr="006753A9">
        <w:rPr>
          <w:sz w:val="22"/>
        </w:rPr>
        <w:t>offres</w:t>
      </w:r>
      <w:r w:rsidRPr="006753A9">
        <w:rPr>
          <w:sz w:val="22"/>
        </w:rPr>
        <w:t xml:space="preserve"> </w:t>
      </w:r>
    </w:p>
    <w:p w:rsidR="001278BC" w:rsidRPr="006753A9" w:rsidRDefault="001278BC">
      <w:pPr>
        <w:spacing w:after="0" w:line="259" w:lineRule="auto"/>
        <w:ind w:left="0" w:right="0" w:firstLine="0"/>
        <w:jc w:val="left"/>
      </w:pPr>
    </w:p>
    <w:p w:rsidR="001278BC" w:rsidRPr="006753A9" w:rsidRDefault="001278BC">
      <w:pPr>
        <w:spacing w:after="0" w:line="259" w:lineRule="auto"/>
        <w:ind w:left="708" w:right="0" w:firstLine="0"/>
        <w:jc w:val="left"/>
      </w:pPr>
    </w:p>
    <w:p w:rsidR="001278BC" w:rsidRPr="006753A9" w:rsidRDefault="008F22F7">
      <w:pPr>
        <w:ind w:left="-15" w:right="0" w:firstLine="708"/>
      </w:pPr>
      <w:r w:rsidRPr="006753A9">
        <w:t>L’o</w:t>
      </w:r>
      <w:r w:rsidR="00FA5DCE" w:rsidRPr="006753A9">
        <w:t xml:space="preserve">ffre économiquement la plus avantageuse </w:t>
      </w:r>
      <w:r w:rsidRPr="006753A9">
        <w:t xml:space="preserve">sera </w:t>
      </w:r>
      <w:r w:rsidR="00FA5DCE" w:rsidRPr="006753A9">
        <w:t>appréciée en fonction des critères pondérés énumérés ci-dessous</w:t>
      </w:r>
      <w:r w:rsidRPr="006753A9">
        <w:t> :</w:t>
      </w:r>
      <w:r w:rsidR="00FA5DCE" w:rsidRPr="006753A9">
        <w:t xml:space="preserve">  </w:t>
      </w:r>
    </w:p>
    <w:p w:rsidR="001278BC" w:rsidRPr="006753A9" w:rsidRDefault="00FA5DCE">
      <w:pPr>
        <w:spacing w:after="100" w:line="259" w:lineRule="auto"/>
        <w:ind w:left="708" w:right="0" w:firstLine="0"/>
        <w:jc w:val="left"/>
      </w:pPr>
      <w:r w:rsidRPr="006753A9">
        <w:t xml:space="preserve"> </w:t>
      </w:r>
    </w:p>
    <w:p w:rsidR="001278BC" w:rsidRPr="006753A9" w:rsidRDefault="00FA5DCE">
      <w:pPr>
        <w:ind w:left="718" w:right="0"/>
      </w:pPr>
      <w:r w:rsidRPr="006753A9">
        <w:lastRenderedPageBreak/>
        <w:t xml:space="preserve">La notation globale sera effectuée sur 100 points. </w:t>
      </w:r>
    </w:p>
    <w:p w:rsidR="001278BC" w:rsidRPr="006753A9" w:rsidRDefault="00FA5DCE">
      <w:pPr>
        <w:spacing w:after="103" w:line="259" w:lineRule="auto"/>
        <w:ind w:left="708" w:right="0" w:firstLine="0"/>
        <w:jc w:val="left"/>
      </w:pPr>
      <w:r w:rsidRPr="006753A9">
        <w:t xml:space="preserve"> </w:t>
      </w:r>
    </w:p>
    <w:p w:rsidR="00CE0CED" w:rsidRPr="006753A9" w:rsidRDefault="00CE0CED">
      <w:pPr>
        <w:ind w:left="718" w:right="0"/>
        <w:rPr>
          <w:color w:val="FF0000"/>
        </w:rPr>
      </w:pPr>
      <w:r w:rsidRPr="006753A9">
        <w:t xml:space="preserve">Note globale (100 pts) </w:t>
      </w:r>
      <w:r w:rsidRPr="006753A9">
        <w:rPr>
          <w:color w:val="auto"/>
        </w:rPr>
        <w:t>décomposée comme suit :</w:t>
      </w:r>
    </w:p>
    <w:p w:rsidR="00CE0CED" w:rsidRPr="006753A9" w:rsidRDefault="00CE0CED">
      <w:pPr>
        <w:ind w:left="718" w:right="0"/>
      </w:pPr>
      <w:r w:rsidRPr="006753A9">
        <w:rPr>
          <w:color w:val="FF0000"/>
        </w:rPr>
        <w:t xml:space="preserve">- </w:t>
      </w:r>
      <w:r w:rsidR="00FA5DCE" w:rsidRPr="006753A9">
        <w:t>note « technique » (</w:t>
      </w:r>
      <w:r w:rsidR="008F22F7" w:rsidRPr="006753A9">
        <w:t>3</w:t>
      </w:r>
      <w:r w:rsidR="00FA5DCE" w:rsidRPr="006753A9">
        <w:t xml:space="preserve">0 pts) </w:t>
      </w:r>
    </w:p>
    <w:p w:rsidR="00CE0CED" w:rsidRPr="006753A9" w:rsidRDefault="00CE0CED">
      <w:pPr>
        <w:ind w:left="718" w:right="0"/>
      </w:pPr>
      <w:r w:rsidRPr="006753A9">
        <w:t>-</w:t>
      </w:r>
      <w:r w:rsidR="00FA5DCE" w:rsidRPr="006753A9">
        <w:t xml:space="preserve"> note « prix » (</w:t>
      </w:r>
      <w:r w:rsidR="008F22F7" w:rsidRPr="006753A9">
        <w:t>6</w:t>
      </w:r>
      <w:r w:rsidR="00FA5DCE" w:rsidRPr="006753A9">
        <w:t>0 pts)</w:t>
      </w:r>
      <w:r w:rsidRPr="006753A9">
        <w:t xml:space="preserve"> </w:t>
      </w:r>
    </w:p>
    <w:p w:rsidR="006753A9" w:rsidRDefault="00CE0CED" w:rsidP="006753A9">
      <w:pPr>
        <w:ind w:left="718" w:right="0"/>
      </w:pPr>
      <w:r w:rsidRPr="006753A9">
        <w:t>-</w:t>
      </w:r>
      <w:r w:rsidR="008F22F7" w:rsidRPr="006753A9">
        <w:t xml:space="preserve"> note « délai » (10 points)</w:t>
      </w:r>
    </w:p>
    <w:p w:rsidR="00BC7551" w:rsidRDefault="00BC7551" w:rsidP="006753A9">
      <w:pPr>
        <w:ind w:left="718" w:right="0"/>
      </w:pPr>
    </w:p>
    <w:p w:rsidR="00BC7551" w:rsidRDefault="00BC7551" w:rsidP="006753A9">
      <w:pPr>
        <w:ind w:left="718" w:right="0"/>
      </w:pPr>
    </w:p>
    <w:p w:rsidR="001278BC" w:rsidRPr="006753A9" w:rsidRDefault="006753A9" w:rsidP="006753A9">
      <w:pPr>
        <w:ind w:left="718" w:right="0"/>
      </w:pPr>
      <w:r>
        <w:rPr>
          <w:b/>
        </w:rPr>
        <w:t>V</w:t>
      </w:r>
      <w:r w:rsidR="00FA5DCE" w:rsidRPr="006753A9">
        <w:rPr>
          <w:b/>
        </w:rPr>
        <w:t xml:space="preserve">aleur technique : </w:t>
      </w:r>
      <w:r w:rsidR="008F22F7" w:rsidRPr="006753A9">
        <w:rPr>
          <w:b/>
        </w:rPr>
        <w:t>3</w:t>
      </w:r>
      <w:r w:rsidR="00FA5DCE" w:rsidRPr="006753A9">
        <w:rPr>
          <w:b/>
        </w:rPr>
        <w:t xml:space="preserve">0 points </w:t>
      </w:r>
    </w:p>
    <w:p w:rsidR="001278BC" w:rsidRPr="006753A9" w:rsidRDefault="00FA5DCE">
      <w:pPr>
        <w:spacing w:after="0" w:line="259" w:lineRule="auto"/>
        <w:ind w:left="708" w:right="0" w:firstLine="0"/>
        <w:jc w:val="left"/>
      </w:pPr>
      <w:r w:rsidRPr="006753A9">
        <w:t xml:space="preserve"> </w:t>
      </w:r>
    </w:p>
    <w:p w:rsidR="001278BC" w:rsidRPr="006753A9" w:rsidRDefault="00FA5DCE">
      <w:pPr>
        <w:spacing w:after="223"/>
        <w:ind w:left="-5" w:right="0"/>
      </w:pPr>
      <w:r w:rsidRPr="006753A9">
        <w:t xml:space="preserve">Le critère de la valeur technique sera apprécié </w:t>
      </w:r>
      <w:r w:rsidRPr="006753A9">
        <w:rPr>
          <w:b/>
        </w:rPr>
        <w:t>au regard des réponses développées dans le mémoire méthodologique joint et complété par le candidat</w:t>
      </w:r>
      <w:r w:rsidRPr="006753A9">
        <w:t xml:space="preserve">. Le respect du document fourni et l’effort de précision des réponses par rapport à l’objet du marché seront évalués selon que les éléments d’appréciations sont succincts, satisfaisants et/ou pertinents. Le candidat pourra utilement se reporter aux documents fournis dans la consultation. </w:t>
      </w:r>
    </w:p>
    <w:p w:rsidR="001278BC" w:rsidRPr="006753A9" w:rsidRDefault="00FA5DCE">
      <w:pPr>
        <w:ind w:left="-5" w:right="0"/>
      </w:pPr>
      <w:r w:rsidRPr="006753A9">
        <w:t xml:space="preserve">Cette note est répartie selon les critères et sous-critères développés ci-dessous : </w:t>
      </w:r>
    </w:p>
    <w:p w:rsidR="001278BC" w:rsidRPr="006753A9" w:rsidRDefault="00FA5DCE">
      <w:pPr>
        <w:spacing w:after="63" w:line="259" w:lineRule="auto"/>
        <w:ind w:left="0" w:right="0" w:firstLine="0"/>
        <w:jc w:val="left"/>
      </w:pPr>
      <w:r w:rsidRPr="006753A9">
        <w:t xml:space="preserve"> </w:t>
      </w:r>
    </w:p>
    <w:p w:rsidR="001278BC" w:rsidRPr="006753A9" w:rsidRDefault="00FA5DCE">
      <w:pPr>
        <w:numPr>
          <w:ilvl w:val="1"/>
          <w:numId w:val="11"/>
        </w:numPr>
        <w:ind w:right="0" w:hanging="360"/>
      </w:pPr>
      <w:r w:rsidRPr="006753A9">
        <w:rPr>
          <w:i/>
        </w:rPr>
        <w:t>1</w:t>
      </w:r>
      <w:r w:rsidR="008F22F7" w:rsidRPr="006753A9">
        <w:rPr>
          <w:i/>
        </w:rPr>
        <w:t>0</w:t>
      </w:r>
      <w:r w:rsidRPr="006753A9">
        <w:rPr>
          <w:i/>
        </w:rPr>
        <w:t xml:space="preserve"> points</w:t>
      </w:r>
      <w:r w:rsidRPr="006753A9">
        <w:t xml:space="preserve"> : Méthodologie de mise en œuvre de l’élément PRO compte-tenu du contexte et des enjeux, </w:t>
      </w:r>
    </w:p>
    <w:p w:rsidR="001278BC" w:rsidRPr="006753A9" w:rsidRDefault="00FA5DCE">
      <w:pPr>
        <w:spacing w:after="58" w:line="259" w:lineRule="auto"/>
        <w:ind w:left="0" w:right="0" w:firstLine="0"/>
        <w:jc w:val="left"/>
      </w:pPr>
      <w:r w:rsidRPr="006753A9">
        <w:t xml:space="preserve"> </w:t>
      </w:r>
    </w:p>
    <w:p w:rsidR="001278BC" w:rsidRPr="006753A9" w:rsidRDefault="00FA5DCE">
      <w:pPr>
        <w:numPr>
          <w:ilvl w:val="1"/>
          <w:numId w:val="11"/>
        </w:numPr>
        <w:ind w:right="0" w:hanging="360"/>
      </w:pPr>
      <w:r w:rsidRPr="006753A9">
        <w:rPr>
          <w:i/>
        </w:rPr>
        <w:t>1</w:t>
      </w:r>
      <w:r w:rsidR="008F22F7" w:rsidRPr="006753A9">
        <w:rPr>
          <w:i/>
        </w:rPr>
        <w:t>0</w:t>
      </w:r>
      <w:r w:rsidRPr="006753A9">
        <w:rPr>
          <w:i/>
        </w:rPr>
        <w:t xml:space="preserve"> points</w:t>
      </w:r>
      <w:r w:rsidRPr="006753A9">
        <w:t xml:space="preserve"> : Méthodologie de mise en œuvre de la mission TRAVAUX compte-tenu du contexte et des enjeux, </w:t>
      </w:r>
    </w:p>
    <w:p w:rsidR="001278BC" w:rsidRPr="006753A9" w:rsidRDefault="00FA5DCE" w:rsidP="008F22F7">
      <w:pPr>
        <w:spacing w:after="74" w:line="259" w:lineRule="auto"/>
        <w:ind w:left="0" w:right="0" w:firstLine="0"/>
        <w:jc w:val="left"/>
      </w:pPr>
      <w:r w:rsidRPr="006753A9">
        <w:t xml:space="preserve"> </w:t>
      </w:r>
    </w:p>
    <w:p w:rsidR="001278BC" w:rsidRPr="006753A9" w:rsidRDefault="00FA5DCE">
      <w:pPr>
        <w:numPr>
          <w:ilvl w:val="1"/>
          <w:numId w:val="11"/>
        </w:numPr>
        <w:ind w:right="0" w:hanging="360"/>
      </w:pPr>
      <w:r w:rsidRPr="006753A9">
        <w:rPr>
          <w:i/>
        </w:rPr>
        <w:t>1</w:t>
      </w:r>
      <w:r w:rsidR="008F22F7" w:rsidRPr="006753A9">
        <w:rPr>
          <w:i/>
        </w:rPr>
        <w:t xml:space="preserve">0 </w:t>
      </w:r>
      <w:r w:rsidRPr="006753A9">
        <w:rPr>
          <w:i/>
        </w:rPr>
        <w:t>points :</w:t>
      </w:r>
      <w:r w:rsidRPr="006753A9">
        <w:t xml:space="preserve"> Méthodologie de prise en compte des prescriptions environnementales dans le cadre du présent marché, </w:t>
      </w:r>
    </w:p>
    <w:p w:rsidR="001278BC" w:rsidRPr="006753A9" w:rsidRDefault="00FA5DCE">
      <w:pPr>
        <w:spacing w:after="69" w:line="259" w:lineRule="auto"/>
        <w:ind w:left="1620" w:right="0" w:firstLine="0"/>
        <w:jc w:val="left"/>
      </w:pPr>
      <w:r w:rsidRPr="006753A9">
        <w:t xml:space="preserve"> </w:t>
      </w:r>
    </w:p>
    <w:p w:rsidR="001278BC" w:rsidRPr="006753A9" w:rsidRDefault="001278BC">
      <w:pPr>
        <w:spacing w:after="0" w:line="259" w:lineRule="auto"/>
        <w:ind w:left="0" w:right="0" w:firstLine="0"/>
        <w:jc w:val="left"/>
      </w:pPr>
    </w:p>
    <w:p w:rsidR="001278BC" w:rsidRPr="006753A9" w:rsidRDefault="00FA5DCE">
      <w:pPr>
        <w:numPr>
          <w:ilvl w:val="0"/>
          <w:numId w:val="11"/>
        </w:numPr>
        <w:spacing w:line="250" w:lineRule="auto"/>
        <w:ind w:right="0" w:hanging="360"/>
      </w:pPr>
      <w:bookmarkStart w:id="4" w:name="_Hlk510536252"/>
      <w:r w:rsidRPr="006753A9">
        <w:rPr>
          <w:b/>
        </w:rPr>
        <w:t xml:space="preserve">Prix : </w:t>
      </w:r>
      <w:r w:rsidR="008F22F7" w:rsidRPr="006753A9">
        <w:rPr>
          <w:b/>
        </w:rPr>
        <w:t>6</w:t>
      </w:r>
      <w:r w:rsidRPr="006753A9">
        <w:rPr>
          <w:b/>
        </w:rPr>
        <w:t xml:space="preserve">0 points </w:t>
      </w:r>
    </w:p>
    <w:bookmarkEnd w:id="4"/>
    <w:p w:rsidR="001278BC" w:rsidRPr="006753A9" w:rsidRDefault="00FA5DCE">
      <w:pPr>
        <w:spacing w:after="0" w:line="259" w:lineRule="auto"/>
        <w:ind w:left="720" w:right="0" w:firstLine="0"/>
        <w:jc w:val="left"/>
      </w:pPr>
      <w:r w:rsidRPr="006753A9">
        <w:rPr>
          <w:b/>
        </w:rPr>
        <w:t xml:space="preserve"> </w:t>
      </w:r>
    </w:p>
    <w:p w:rsidR="001278BC" w:rsidRPr="006753A9" w:rsidRDefault="00FA5DCE" w:rsidP="006753A9">
      <w:pPr>
        <w:ind w:left="-5" w:right="0"/>
      </w:pPr>
      <w:r w:rsidRPr="006753A9">
        <w:t xml:space="preserve">Le prix noté est le </w:t>
      </w:r>
      <w:r w:rsidRPr="006753A9">
        <w:rPr>
          <w:b/>
        </w:rPr>
        <w:t xml:space="preserve">montant HT du « </w:t>
      </w:r>
      <w:r w:rsidRPr="006753A9">
        <w:rPr>
          <w:b/>
          <w:i/>
        </w:rPr>
        <w:t>forfait global de rémunération provisoire</w:t>
      </w:r>
      <w:r w:rsidRPr="006753A9">
        <w:rPr>
          <w:b/>
        </w:rPr>
        <w:t xml:space="preserve"> » du candidat, indiqué dans le mémoire méthodologique joint (IIV)</w:t>
      </w:r>
      <w:r w:rsidRPr="006753A9">
        <w:t xml:space="preserve">, portant sur la maîtrise d’œuvre des travaux connexes pour les </w:t>
      </w:r>
      <w:r w:rsidR="00744B8D" w:rsidRPr="006753A9">
        <w:t>5</w:t>
      </w:r>
      <w:r w:rsidRPr="006753A9">
        <w:t xml:space="preserve"> </w:t>
      </w:r>
      <w:r w:rsidR="00744B8D" w:rsidRPr="006753A9">
        <w:t>entités</w:t>
      </w:r>
      <w:r w:rsidRPr="006753A9">
        <w:t xml:space="preserve"> maîtres d’ouvrage.</w:t>
      </w:r>
      <w:r w:rsidRPr="006753A9">
        <w:rPr>
          <w:b/>
        </w:rPr>
        <w:t xml:space="preserve"> </w:t>
      </w:r>
      <w:r w:rsidRPr="006753A9">
        <w:t xml:space="preserve"> </w:t>
      </w:r>
    </w:p>
    <w:p w:rsidR="001278BC" w:rsidRPr="006753A9" w:rsidRDefault="001278BC">
      <w:pPr>
        <w:spacing w:after="0" w:line="259" w:lineRule="auto"/>
        <w:ind w:left="0" w:right="0" w:firstLine="0"/>
        <w:jc w:val="left"/>
      </w:pPr>
    </w:p>
    <w:p w:rsidR="001278BC" w:rsidRPr="007B3EA1" w:rsidRDefault="00E62E9A">
      <w:pPr>
        <w:ind w:left="-5" w:right="0"/>
        <w:rPr>
          <w:color w:val="auto"/>
        </w:rPr>
      </w:pPr>
      <w:r w:rsidRPr="007B3EA1">
        <w:rPr>
          <w:color w:val="auto"/>
        </w:rPr>
        <w:t>L'offre économiquement la plus avantageuse obtiendra la note maximale 60.</w:t>
      </w:r>
      <w:r w:rsidR="00FA5DCE" w:rsidRPr="007B3EA1">
        <w:rPr>
          <w:color w:val="auto"/>
        </w:rPr>
        <w:t xml:space="preserve"> Les suivantes dans le classement se verront attribuer une note selon la formule de calcul suivante :</w:t>
      </w:r>
      <w:r w:rsidR="00FA5DCE" w:rsidRPr="007B3EA1">
        <w:rPr>
          <w:b/>
          <w:color w:val="auto"/>
        </w:rPr>
        <w:t xml:space="preserve"> </w:t>
      </w:r>
    </w:p>
    <w:p w:rsidR="001278BC" w:rsidRPr="007B3EA1" w:rsidRDefault="00FA5DCE">
      <w:pPr>
        <w:spacing w:after="0" w:line="259" w:lineRule="auto"/>
        <w:ind w:left="708" w:right="0" w:firstLine="0"/>
        <w:jc w:val="left"/>
        <w:rPr>
          <w:color w:val="auto"/>
        </w:rPr>
      </w:pPr>
      <w:r w:rsidRPr="007B3EA1">
        <w:rPr>
          <w:color w:val="auto"/>
        </w:rPr>
        <w:t xml:space="preserve"> </w:t>
      </w:r>
    </w:p>
    <w:p w:rsidR="001278BC" w:rsidRPr="007B3EA1" w:rsidRDefault="00FA5DCE">
      <w:pPr>
        <w:spacing w:line="253" w:lineRule="auto"/>
        <w:ind w:right="6"/>
        <w:jc w:val="center"/>
        <w:rPr>
          <w:color w:val="auto"/>
        </w:rPr>
      </w:pPr>
      <w:r w:rsidRPr="007B3EA1">
        <w:rPr>
          <w:b/>
          <w:color w:val="auto"/>
        </w:rPr>
        <w:t xml:space="preserve">Note = </w:t>
      </w:r>
      <w:r w:rsidR="008F22F7" w:rsidRPr="007B3EA1">
        <w:rPr>
          <w:b/>
          <w:color w:val="auto"/>
        </w:rPr>
        <w:t>6</w:t>
      </w:r>
      <w:r w:rsidRPr="007B3EA1">
        <w:rPr>
          <w:b/>
          <w:color w:val="auto"/>
        </w:rPr>
        <w:t>0 x (</w:t>
      </w:r>
      <w:r w:rsidR="00E62E9A" w:rsidRPr="007B3EA1">
        <w:rPr>
          <w:color w:val="auto"/>
        </w:rPr>
        <w:t>meilleure proposition financière / offre examinée</w:t>
      </w:r>
      <w:r w:rsidRPr="007B3EA1">
        <w:rPr>
          <w:b/>
          <w:color w:val="auto"/>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0" w:line="259" w:lineRule="auto"/>
        <w:ind w:left="0" w:right="0" w:firstLine="0"/>
        <w:jc w:val="left"/>
      </w:pPr>
      <w:r w:rsidRPr="006753A9">
        <w:t xml:space="preserve"> </w:t>
      </w:r>
    </w:p>
    <w:p w:rsidR="008F22F7" w:rsidRPr="006753A9" w:rsidRDefault="00FA5DCE" w:rsidP="008F22F7">
      <w:pPr>
        <w:numPr>
          <w:ilvl w:val="0"/>
          <w:numId w:val="11"/>
        </w:numPr>
        <w:spacing w:line="250" w:lineRule="auto"/>
        <w:ind w:right="0" w:hanging="360"/>
      </w:pPr>
      <w:r w:rsidRPr="006753A9">
        <w:t xml:space="preserve"> </w:t>
      </w:r>
      <w:r w:rsidR="008F22F7" w:rsidRPr="006753A9">
        <w:rPr>
          <w:b/>
        </w:rPr>
        <w:t xml:space="preserve">Délais : 10 points </w:t>
      </w:r>
    </w:p>
    <w:p w:rsidR="001278BC" w:rsidRPr="006753A9" w:rsidRDefault="001278BC">
      <w:pPr>
        <w:spacing w:after="0" w:line="259" w:lineRule="auto"/>
        <w:ind w:left="0" w:right="0" w:firstLine="0"/>
        <w:jc w:val="left"/>
      </w:pPr>
    </w:p>
    <w:p w:rsidR="00E62E9A" w:rsidRPr="007B3EA1" w:rsidRDefault="00FA5DCE" w:rsidP="00E62E9A">
      <w:pPr>
        <w:rPr>
          <w:color w:val="auto"/>
        </w:rPr>
      </w:pPr>
      <w:r w:rsidRPr="007B3EA1">
        <w:rPr>
          <w:color w:val="auto"/>
        </w:rPr>
        <w:t xml:space="preserve"> </w:t>
      </w:r>
      <w:r w:rsidR="00E62E9A" w:rsidRPr="007B3EA1">
        <w:rPr>
          <w:color w:val="auto"/>
        </w:rPr>
        <w:t>En cas d’offre anormalement basse ou d’offre comportant des prix aberrants, le Pouvoir Adjudicateur pourra demander à l’Entreprise de lui communiquer les sous-détails de prix, lors de l’analyse des offres.</w:t>
      </w:r>
    </w:p>
    <w:p w:rsidR="00E62E9A" w:rsidRPr="007B3EA1" w:rsidRDefault="00E62E9A" w:rsidP="00E62E9A">
      <w:pPr>
        <w:keepLines/>
        <w:tabs>
          <w:tab w:val="left" w:pos="567"/>
          <w:tab w:val="left" w:pos="851"/>
          <w:tab w:val="left" w:pos="1134"/>
        </w:tabs>
        <w:rPr>
          <w:noProof/>
          <w:color w:val="auto"/>
        </w:rPr>
      </w:pPr>
    </w:p>
    <w:p w:rsidR="00E62E9A" w:rsidRPr="007B3EA1" w:rsidRDefault="00E62E9A" w:rsidP="00E62E9A">
      <w:pPr>
        <w:keepLines/>
        <w:tabs>
          <w:tab w:val="left" w:pos="567"/>
          <w:tab w:val="left" w:pos="851"/>
          <w:tab w:val="left" w:pos="1134"/>
        </w:tabs>
        <w:rPr>
          <w:noProof/>
          <w:color w:val="auto"/>
        </w:rPr>
      </w:pPr>
      <w:r w:rsidRPr="007B3EA1">
        <w:rPr>
          <w:noProof/>
          <w:color w:val="auto"/>
        </w:rPr>
        <w:t xml:space="preserve">En cas de discordance constatée dans une offre, les indications portées sur l’acte d’engagement (total général) prévaudront sur toutes les autres indications de l’offre dont les montants pourront être rectifiés en conséquence. </w:t>
      </w:r>
    </w:p>
    <w:p w:rsidR="00E62E9A" w:rsidRPr="007B3EA1" w:rsidRDefault="00E62E9A" w:rsidP="00E62E9A">
      <w:pPr>
        <w:keepLines/>
        <w:tabs>
          <w:tab w:val="left" w:pos="567"/>
          <w:tab w:val="left" w:pos="851"/>
          <w:tab w:val="left" w:pos="1134"/>
        </w:tabs>
        <w:rPr>
          <w:noProof/>
          <w:color w:val="auto"/>
        </w:rPr>
      </w:pPr>
    </w:p>
    <w:p w:rsidR="00E62E9A" w:rsidRPr="007B3EA1" w:rsidRDefault="00E62E9A" w:rsidP="00E62E9A">
      <w:pPr>
        <w:rPr>
          <w:color w:val="auto"/>
        </w:rPr>
      </w:pPr>
      <w:r w:rsidRPr="007B3EA1">
        <w:rPr>
          <w:color w:val="auto"/>
        </w:rPr>
        <w:lastRenderedPageBreak/>
        <w:tab/>
        <w:t>Les erreurs de multiplication, d’addition ou de report qui seraient constatées dans la répartition des honoraires figurant dans l’offre d’un candidat, seront rectifiées et, pour le jugement des offres, c’est le montant ainsi rectifié qui sera pris en considération.</w:t>
      </w:r>
    </w:p>
    <w:p w:rsidR="00E62E9A" w:rsidRPr="007B3EA1" w:rsidRDefault="00E62E9A" w:rsidP="00E62E9A">
      <w:pPr>
        <w:rPr>
          <w:color w:val="auto"/>
        </w:rPr>
      </w:pPr>
    </w:p>
    <w:p w:rsidR="00E62E9A" w:rsidRPr="007B3EA1" w:rsidRDefault="00E62E9A" w:rsidP="00E62E9A">
      <w:pPr>
        <w:autoSpaceDE w:val="0"/>
        <w:autoSpaceDN w:val="0"/>
        <w:adjustRightInd w:val="0"/>
        <w:rPr>
          <w:bCs/>
          <w:color w:val="auto"/>
        </w:rPr>
      </w:pPr>
      <w:r w:rsidRPr="007B3EA1">
        <w:rPr>
          <w:bCs/>
          <w:color w:val="auto"/>
        </w:rPr>
        <w:tab/>
        <w:t>Conformément à l’article 59. II du décret n°2016-360 du 25 mars 2016 relatif aux marchés publics, les offres irrégulières, inappropriées ou inacceptables sont éliminées.</w:t>
      </w:r>
    </w:p>
    <w:p w:rsidR="00E62E9A" w:rsidRPr="007B3EA1" w:rsidRDefault="00E62E9A" w:rsidP="00E62E9A">
      <w:pPr>
        <w:autoSpaceDE w:val="0"/>
        <w:autoSpaceDN w:val="0"/>
        <w:adjustRightInd w:val="0"/>
        <w:rPr>
          <w:bCs/>
          <w:color w:val="auto"/>
        </w:rPr>
      </w:pPr>
      <w:r w:rsidRPr="007B3EA1">
        <w:rPr>
          <w:bCs/>
          <w:color w:val="auto"/>
        </w:rPr>
        <w:t>Toutefois, l'acheteur se réserve la possibilité d’autoriser tous les soumissionnaires concernés à régulariser les offres irrégulières dans un délai approprié, à condition que cette régularisation n’entraine pas de modification substantielle des offres initiales.</w:t>
      </w:r>
    </w:p>
    <w:p w:rsidR="00E62E9A" w:rsidRPr="007B3EA1" w:rsidRDefault="00E62E9A" w:rsidP="00E62E9A">
      <w:pPr>
        <w:autoSpaceDE w:val="0"/>
        <w:autoSpaceDN w:val="0"/>
        <w:adjustRightInd w:val="0"/>
        <w:rPr>
          <w:bCs/>
          <w:color w:val="auto"/>
        </w:rPr>
      </w:pPr>
      <w:r w:rsidRPr="006753A9">
        <w:rPr>
          <w:bCs/>
          <w:color w:val="FF0000"/>
        </w:rPr>
        <w:tab/>
      </w:r>
      <w:r w:rsidRPr="007B3EA1">
        <w:rPr>
          <w:bCs/>
          <w:color w:val="auto"/>
        </w:rPr>
        <w:t>Conformément à l’article 60. I du décret n°2016-360 du 25 mars 2016 relatif aux marchés publics, l’acheteur exige que le soumissionnaire justifie le prix ou les couts proposés dans son offre lorsque celle-ci semble anormalement basse.</w:t>
      </w:r>
    </w:p>
    <w:p w:rsidR="00E62E9A" w:rsidRPr="007B3EA1" w:rsidRDefault="00E62E9A" w:rsidP="00E62E9A">
      <w:pPr>
        <w:autoSpaceDE w:val="0"/>
        <w:autoSpaceDN w:val="0"/>
        <w:adjustRightInd w:val="0"/>
        <w:rPr>
          <w:noProof/>
          <w:color w:val="auto"/>
        </w:rPr>
      </w:pPr>
      <w:r w:rsidRPr="007B3EA1">
        <w:rPr>
          <w:bCs/>
          <w:color w:val="auto"/>
        </w:rPr>
        <w:tab/>
        <w:t>Conformément à l’article 67. IV du décret n°2016-360 du 25 mars 2016, il est possible pour l’acheteur de demander aux soumissionnaires de préciser la teneur de leur offre.</w:t>
      </w:r>
    </w:p>
    <w:p w:rsidR="001278BC" w:rsidRPr="006753A9" w:rsidRDefault="001278BC">
      <w:pPr>
        <w:spacing w:after="0" w:line="259" w:lineRule="auto"/>
        <w:ind w:left="0" w:right="0" w:firstLine="0"/>
        <w:jc w:val="left"/>
        <w:rPr>
          <w:color w:val="FF0000"/>
        </w:rPr>
      </w:pPr>
    </w:p>
    <w:p w:rsidR="001278BC" w:rsidRPr="006753A9" w:rsidRDefault="00FA5DCE">
      <w:pPr>
        <w:spacing w:after="0" w:line="259" w:lineRule="auto"/>
        <w:ind w:left="0" w:right="0" w:firstLine="0"/>
        <w:jc w:val="left"/>
      </w:pPr>
      <w:r w:rsidRPr="006753A9">
        <w:t xml:space="preserve"> </w:t>
      </w:r>
    </w:p>
    <w:p w:rsidR="001278BC" w:rsidRPr="006753A9" w:rsidRDefault="00FA5DCE">
      <w:pPr>
        <w:pStyle w:val="Titre2"/>
        <w:ind w:left="-5"/>
        <w:rPr>
          <w:sz w:val="22"/>
        </w:rPr>
      </w:pPr>
      <w:r w:rsidRPr="006753A9">
        <w:rPr>
          <w:sz w:val="22"/>
        </w:rPr>
        <w:t xml:space="preserve">Article </w:t>
      </w:r>
      <w:r w:rsidR="007B3EA1">
        <w:rPr>
          <w:sz w:val="22"/>
        </w:rPr>
        <w:t>7-2</w:t>
      </w:r>
      <w:r w:rsidRPr="006753A9">
        <w:rPr>
          <w:sz w:val="22"/>
        </w:rPr>
        <w:t xml:space="preserve"> Négociation</w:t>
      </w:r>
      <w:r w:rsidRPr="006753A9">
        <w:rPr>
          <w:sz w:val="22"/>
          <w:u w:val="none"/>
        </w:rPr>
        <w:t xml:space="preserve"> </w:t>
      </w:r>
    </w:p>
    <w:p w:rsidR="001278BC" w:rsidRPr="007B3EA1" w:rsidRDefault="00FA5DCE">
      <w:pPr>
        <w:spacing w:after="0" w:line="259" w:lineRule="auto"/>
        <w:ind w:left="0" w:right="0" w:firstLine="0"/>
        <w:jc w:val="left"/>
        <w:rPr>
          <w:color w:val="auto"/>
        </w:rPr>
      </w:pPr>
      <w:r w:rsidRPr="006753A9">
        <w:rPr>
          <w:rFonts w:eastAsia="Times New Roman"/>
        </w:rPr>
        <w:t xml:space="preserve"> </w:t>
      </w:r>
    </w:p>
    <w:p w:rsidR="00E62E9A" w:rsidRPr="007B3EA1" w:rsidRDefault="00E62E9A" w:rsidP="00E62E9A">
      <w:pPr>
        <w:rPr>
          <w:color w:val="auto"/>
        </w:rPr>
      </w:pPr>
      <w:r w:rsidRPr="007B3EA1">
        <w:rPr>
          <w:color w:val="auto"/>
        </w:rPr>
        <w:tab/>
      </w:r>
      <w:r w:rsidRPr="007B3EA1">
        <w:rPr>
          <w:color w:val="auto"/>
        </w:rPr>
        <w:tab/>
        <w:t xml:space="preserve">En vertu de l'article 27 du décret du 25 mars 2016, après analyse de l’ensemble des offres, le Pouvoir Adjudicateur, coordonnateur, se laisse la possibilité d’engager des négociations avec les candidats de son choix. Le marché sera alors attribué par les pouvoirs adjudicateurs au candidat ayant présenté l'offre économiquement la plus avantageuse. </w:t>
      </w:r>
    </w:p>
    <w:p w:rsidR="001278BC" w:rsidRPr="006753A9" w:rsidRDefault="001278BC">
      <w:pPr>
        <w:spacing w:after="0" w:line="259" w:lineRule="auto"/>
        <w:ind w:left="708" w:right="0" w:firstLine="0"/>
        <w:jc w:val="left"/>
      </w:pPr>
    </w:p>
    <w:p w:rsidR="001278BC" w:rsidRPr="006753A9" w:rsidRDefault="00FA5DCE">
      <w:pPr>
        <w:pStyle w:val="Titre2"/>
        <w:ind w:left="-5"/>
        <w:rPr>
          <w:sz w:val="22"/>
        </w:rPr>
      </w:pPr>
      <w:r w:rsidRPr="006753A9">
        <w:rPr>
          <w:sz w:val="22"/>
        </w:rPr>
        <w:t xml:space="preserve">Article </w:t>
      </w:r>
      <w:r w:rsidR="007B3EA1">
        <w:rPr>
          <w:sz w:val="22"/>
        </w:rPr>
        <w:t>7-3</w:t>
      </w:r>
      <w:r w:rsidRPr="006753A9">
        <w:rPr>
          <w:sz w:val="22"/>
        </w:rPr>
        <w:t xml:space="preserve"> Suites de la procédure de consultation</w:t>
      </w:r>
      <w:r w:rsidRPr="006753A9">
        <w:rPr>
          <w:sz w:val="22"/>
          <w:u w:val="none"/>
        </w:rPr>
        <w:t xml:space="preserve"> </w:t>
      </w:r>
    </w:p>
    <w:p w:rsidR="001278BC" w:rsidRPr="006753A9" w:rsidRDefault="00FA5DCE">
      <w:pPr>
        <w:spacing w:after="0" w:line="259" w:lineRule="auto"/>
        <w:ind w:left="0" w:right="0" w:firstLine="0"/>
        <w:jc w:val="left"/>
      </w:pPr>
      <w:r w:rsidRPr="006753A9">
        <w:t xml:space="preserve"> </w:t>
      </w:r>
    </w:p>
    <w:p w:rsidR="001278BC" w:rsidRPr="006753A9" w:rsidRDefault="00FA5DCE">
      <w:pPr>
        <w:ind w:left="-5" w:right="0"/>
      </w:pPr>
      <w:r w:rsidRPr="006753A9">
        <w:t xml:space="preserve">La commission du groupement de commandes procède à l'examen des candidatures et des offres remises par les candidats.  </w:t>
      </w:r>
    </w:p>
    <w:p w:rsidR="001278BC" w:rsidRPr="006753A9" w:rsidRDefault="00FA5DCE">
      <w:pPr>
        <w:spacing w:after="0" w:line="259" w:lineRule="auto"/>
        <w:ind w:left="0" w:right="0" w:firstLine="0"/>
        <w:jc w:val="left"/>
      </w:pPr>
      <w:r w:rsidRPr="006753A9">
        <w:t xml:space="preserve"> </w:t>
      </w:r>
    </w:p>
    <w:p w:rsidR="001278BC" w:rsidRPr="006753A9" w:rsidRDefault="00FA5DCE" w:rsidP="007B3EA1">
      <w:pPr>
        <w:ind w:left="-5" w:right="0"/>
      </w:pPr>
      <w:r w:rsidRPr="006753A9">
        <w:t xml:space="preserve">A l’issue de la consultation, il ne sera versé aucune prime aux candidats non retenus.  </w:t>
      </w:r>
    </w:p>
    <w:p w:rsidR="001278BC" w:rsidRPr="006753A9" w:rsidRDefault="00FA5DCE">
      <w:pPr>
        <w:spacing w:after="0" w:line="259" w:lineRule="auto"/>
        <w:ind w:left="360" w:right="0" w:firstLine="0"/>
        <w:jc w:val="left"/>
      </w:pPr>
      <w:r w:rsidRPr="006753A9">
        <w:t xml:space="preserve"> </w:t>
      </w:r>
    </w:p>
    <w:p w:rsidR="001278BC" w:rsidRPr="006753A9" w:rsidRDefault="00FA5DCE">
      <w:pPr>
        <w:spacing w:after="60" w:line="259" w:lineRule="auto"/>
        <w:ind w:left="360" w:right="0" w:firstLine="0"/>
        <w:jc w:val="left"/>
      </w:pPr>
      <w:r w:rsidRPr="006753A9">
        <w:t xml:space="preserve"> </w:t>
      </w:r>
    </w:p>
    <w:p w:rsidR="001278BC" w:rsidRPr="006753A9" w:rsidRDefault="00FA5DCE">
      <w:pPr>
        <w:pStyle w:val="Titre1"/>
        <w:ind w:left="-5"/>
        <w:rPr>
          <w:sz w:val="22"/>
        </w:rPr>
      </w:pPr>
      <w:r w:rsidRPr="006753A9">
        <w:rPr>
          <w:sz w:val="22"/>
        </w:rPr>
        <w:t xml:space="preserve">Article </w:t>
      </w:r>
      <w:r w:rsidR="007B3EA1">
        <w:rPr>
          <w:sz w:val="22"/>
        </w:rPr>
        <w:t>8</w:t>
      </w:r>
      <w:r w:rsidRPr="006753A9">
        <w:rPr>
          <w:sz w:val="22"/>
        </w:rPr>
        <w:t xml:space="preserve"> : Renseignements complémentaires </w:t>
      </w: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ind w:left="-5" w:right="0"/>
      </w:pPr>
      <w:r w:rsidRPr="006753A9">
        <w:t>Pour obtenir tous renseignements complémentaires, d’ordre administratif et technique, qui leur seraient nécessaires au cours de leur étude, les candidats devront faire parvenir au plus tard 15 jours avant la date limite de remise des offres, une demande écrite à la :</w:t>
      </w:r>
      <w:r w:rsidRPr="006753A9">
        <w:rPr>
          <w:b/>
        </w:rPr>
        <w:t xml:space="preserve"> </w:t>
      </w:r>
    </w:p>
    <w:p w:rsidR="001278BC" w:rsidRPr="006753A9" w:rsidRDefault="00FA5DCE">
      <w:pPr>
        <w:spacing w:after="0" w:line="259" w:lineRule="auto"/>
        <w:ind w:left="708" w:right="0" w:firstLine="0"/>
        <w:jc w:val="left"/>
      </w:pPr>
      <w:r w:rsidRPr="006753A9">
        <w:t xml:space="preserve"> </w:t>
      </w:r>
    </w:p>
    <w:p w:rsidR="001278BC" w:rsidRPr="006753A9" w:rsidRDefault="00FA5DCE">
      <w:pPr>
        <w:spacing w:line="251" w:lineRule="auto"/>
        <w:ind w:left="-5" w:right="2699"/>
      </w:pPr>
      <w:r w:rsidRPr="006753A9">
        <w:t xml:space="preserve">Mairie de </w:t>
      </w:r>
      <w:r w:rsidR="008F22F7" w:rsidRPr="006753A9">
        <w:t>PIOLENC</w:t>
      </w:r>
    </w:p>
    <w:p w:rsidR="008F22F7" w:rsidRPr="006753A9" w:rsidRDefault="008F22F7">
      <w:pPr>
        <w:spacing w:line="251" w:lineRule="auto"/>
        <w:ind w:left="-5" w:right="2699"/>
      </w:pPr>
      <w:r w:rsidRPr="006753A9">
        <w:t xml:space="preserve">6 </w:t>
      </w:r>
      <w:r w:rsidR="00FA5DCE" w:rsidRPr="006753A9">
        <w:t xml:space="preserve">Rue </w:t>
      </w:r>
      <w:r w:rsidRPr="006753A9">
        <w:t>Jean Moulin</w:t>
      </w:r>
    </w:p>
    <w:p w:rsidR="001278BC" w:rsidRPr="006753A9" w:rsidRDefault="008F22F7">
      <w:pPr>
        <w:spacing w:line="251" w:lineRule="auto"/>
        <w:ind w:left="-5" w:right="2699"/>
      </w:pPr>
      <w:r w:rsidRPr="006753A9">
        <w:t>BP 1</w:t>
      </w:r>
      <w:r w:rsidR="00FA5DCE" w:rsidRPr="006753A9">
        <w:t xml:space="preserve"> </w:t>
      </w:r>
    </w:p>
    <w:p w:rsidR="001278BC" w:rsidRPr="006753A9" w:rsidRDefault="008F22F7">
      <w:pPr>
        <w:spacing w:line="251" w:lineRule="auto"/>
        <w:ind w:left="-5" w:right="2699"/>
      </w:pPr>
      <w:r w:rsidRPr="006753A9">
        <w:t>84 420 PIOLENC</w:t>
      </w:r>
    </w:p>
    <w:p w:rsidR="008F22F7" w:rsidRPr="006753A9" w:rsidRDefault="00FA5DCE">
      <w:pPr>
        <w:spacing w:line="251" w:lineRule="auto"/>
        <w:ind w:left="-5" w:right="2699"/>
      </w:pPr>
      <w:r w:rsidRPr="006753A9">
        <w:t xml:space="preserve">Horaires d’ouverture : </w:t>
      </w:r>
      <w:r w:rsidR="008F22F7" w:rsidRPr="006753A9">
        <w:t>tous les jours de 8h à 12 h et de 14h à 18 h</w:t>
      </w:r>
      <w:r w:rsidRPr="006753A9">
        <w:t xml:space="preserve"> Tel : </w:t>
      </w:r>
      <w:r w:rsidR="008F22F7" w:rsidRPr="006753A9">
        <w:t>04 90 29 63 66</w:t>
      </w:r>
    </w:p>
    <w:p w:rsidR="008F22F7" w:rsidRPr="006753A9" w:rsidRDefault="008F22F7">
      <w:pPr>
        <w:spacing w:line="251" w:lineRule="auto"/>
        <w:ind w:left="-5" w:right="2699"/>
      </w:pPr>
    </w:p>
    <w:p w:rsidR="008F22F7" w:rsidRPr="006753A9" w:rsidRDefault="008F22F7">
      <w:pPr>
        <w:spacing w:line="251" w:lineRule="auto"/>
        <w:ind w:left="-5" w:right="2699"/>
      </w:pPr>
      <w:r w:rsidRPr="006753A9">
        <w:t>Ou une demande écrite adressée à l’adresse de messagerie suivante : contact@mairie-piolenc.fr</w:t>
      </w:r>
    </w:p>
    <w:p w:rsidR="001278BC" w:rsidRPr="006753A9" w:rsidRDefault="00FA5DCE">
      <w:pPr>
        <w:spacing w:line="251" w:lineRule="auto"/>
        <w:ind w:left="-5" w:right="2699"/>
      </w:pPr>
      <w:r w:rsidRPr="006753A9">
        <w:t xml:space="preserve"> </w:t>
      </w:r>
    </w:p>
    <w:p w:rsidR="001278BC" w:rsidRPr="006753A9" w:rsidRDefault="00FA5DCE">
      <w:pPr>
        <w:spacing w:after="0" w:line="259" w:lineRule="auto"/>
        <w:ind w:left="0" w:right="0" w:firstLine="0"/>
        <w:jc w:val="left"/>
      </w:pPr>
      <w:r w:rsidRPr="006753A9">
        <w:rPr>
          <w:color w:val="0000FF"/>
        </w:rPr>
        <w:t xml:space="preserve"> </w:t>
      </w:r>
    </w:p>
    <w:p w:rsidR="001278BC" w:rsidRPr="006753A9" w:rsidRDefault="00FA5DCE">
      <w:pPr>
        <w:ind w:left="-5" w:right="0"/>
      </w:pPr>
      <w:r w:rsidRPr="006753A9">
        <w:t xml:space="preserve">Une réponse sera, alors, adressée en temps utile à tous les candidats ayant été destinataires du dossier : </w:t>
      </w:r>
    </w:p>
    <w:p w:rsidR="001278BC" w:rsidRPr="006753A9" w:rsidRDefault="00FA5DCE">
      <w:pPr>
        <w:numPr>
          <w:ilvl w:val="0"/>
          <w:numId w:val="12"/>
        </w:numPr>
        <w:ind w:right="0" w:hanging="360"/>
      </w:pPr>
      <w:proofErr w:type="gramStart"/>
      <w:r w:rsidRPr="006753A9">
        <w:t>par</w:t>
      </w:r>
      <w:proofErr w:type="gramEnd"/>
      <w:r w:rsidRPr="006753A9">
        <w:t xml:space="preserve"> courrier </w:t>
      </w:r>
      <w:r w:rsidR="008F22F7" w:rsidRPr="006753A9">
        <w:t xml:space="preserve">ou </w:t>
      </w:r>
      <w:r w:rsidRPr="006753A9">
        <w:t xml:space="preserve"> </w:t>
      </w:r>
    </w:p>
    <w:p w:rsidR="001278BC" w:rsidRPr="006753A9" w:rsidRDefault="00FA5DCE">
      <w:pPr>
        <w:numPr>
          <w:ilvl w:val="0"/>
          <w:numId w:val="12"/>
        </w:numPr>
        <w:ind w:right="0" w:hanging="360"/>
      </w:pPr>
      <w:proofErr w:type="gramStart"/>
      <w:r w:rsidRPr="006753A9">
        <w:t>par</w:t>
      </w:r>
      <w:proofErr w:type="gramEnd"/>
      <w:r w:rsidRPr="006753A9">
        <w:t xml:space="preserve"> courriel </w:t>
      </w:r>
    </w:p>
    <w:p w:rsidR="001278BC" w:rsidRPr="006753A9" w:rsidRDefault="00FA5DCE">
      <w:pPr>
        <w:spacing w:after="0" w:line="259" w:lineRule="auto"/>
        <w:ind w:left="360" w:right="0" w:firstLine="0"/>
        <w:jc w:val="left"/>
      </w:pPr>
      <w:r w:rsidRPr="006753A9">
        <w:t xml:space="preserve"> </w:t>
      </w:r>
    </w:p>
    <w:p w:rsidR="001278BC" w:rsidRPr="006753A9" w:rsidRDefault="00FA5DCE">
      <w:pPr>
        <w:spacing w:after="0" w:line="259" w:lineRule="auto"/>
        <w:ind w:left="360" w:right="0" w:firstLine="0"/>
        <w:jc w:val="left"/>
      </w:pPr>
      <w:r w:rsidRPr="006753A9">
        <w:lastRenderedPageBreak/>
        <w:t xml:space="preserve"> </w:t>
      </w:r>
    </w:p>
    <w:p w:rsidR="001278BC" w:rsidRPr="006753A9" w:rsidRDefault="00FA5DCE">
      <w:pPr>
        <w:spacing w:after="19" w:line="259" w:lineRule="auto"/>
        <w:ind w:left="360" w:right="0" w:firstLine="0"/>
        <w:jc w:val="left"/>
      </w:pPr>
      <w:r w:rsidRPr="006753A9">
        <w:t xml:space="preserve"> </w:t>
      </w:r>
    </w:p>
    <w:p w:rsidR="001278BC" w:rsidRPr="006753A9" w:rsidRDefault="00FA5DCE">
      <w:pPr>
        <w:pStyle w:val="Titre1"/>
        <w:ind w:left="-5"/>
        <w:rPr>
          <w:sz w:val="22"/>
        </w:rPr>
      </w:pPr>
      <w:r w:rsidRPr="006753A9">
        <w:rPr>
          <w:sz w:val="22"/>
        </w:rPr>
        <w:t xml:space="preserve">Article </w:t>
      </w:r>
      <w:r w:rsidR="007B3EA1">
        <w:rPr>
          <w:sz w:val="22"/>
        </w:rPr>
        <w:t>9</w:t>
      </w:r>
      <w:r w:rsidRPr="006753A9">
        <w:rPr>
          <w:sz w:val="22"/>
        </w:rPr>
        <w:t xml:space="preserve">: Voies et Introduction des recours </w:t>
      </w:r>
    </w:p>
    <w:p w:rsidR="001278BC" w:rsidRPr="006753A9" w:rsidRDefault="00FA5DCE">
      <w:pPr>
        <w:spacing w:after="0" w:line="259" w:lineRule="auto"/>
        <w:ind w:left="0" w:right="0" w:firstLine="0"/>
        <w:jc w:val="left"/>
      </w:pPr>
      <w:r w:rsidRPr="006753A9">
        <w:t xml:space="preserve"> </w:t>
      </w:r>
    </w:p>
    <w:p w:rsidR="001278BC" w:rsidRPr="006753A9" w:rsidRDefault="00FA5DCE">
      <w:pPr>
        <w:spacing w:after="3" w:line="259" w:lineRule="auto"/>
        <w:ind w:left="-5" w:right="0"/>
        <w:jc w:val="left"/>
      </w:pPr>
      <w:r w:rsidRPr="006753A9">
        <w:rPr>
          <w:u w:val="single" w:color="000000"/>
        </w:rPr>
        <w:t xml:space="preserve">Instance chargée des procédures de recours : </w:t>
      </w:r>
      <w:r w:rsidRPr="006753A9">
        <w:t xml:space="preserve"> </w:t>
      </w:r>
    </w:p>
    <w:p w:rsidR="001278BC" w:rsidRPr="006753A9" w:rsidRDefault="00FA5DCE">
      <w:pPr>
        <w:spacing w:after="82" w:line="259" w:lineRule="auto"/>
        <w:ind w:left="0" w:right="0" w:firstLine="0"/>
        <w:jc w:val="left"/>
      </w:pPr>
      <w:r w:rsidRPr="006753A9">
        <w:t xml:space="preserve"> </w:t>
      </w:r>
    </w:p>
    <w:p w:rsidR="001278BC" w:rsidRPr="006753A9" w:rsidRDefault="00FA5DCE">
      <w:pPr>
        <w:ind w:left="-5" w:right="0"/>
      </w:pPr>
      <w:r w:rsidRPr="006753A9">
        <w:t>Tribunal administratif d</w:t>
      </w:r>
      <w:r w:rsidR="008F22F7" w:rsidRPr="006753A9">
        <w:t>e Nimes</w:t>
      </w:r>
    </w:p>
    <w:p w:rsidR="001278BC" w:rsidRPr="006753A9" w:rsidRDefault="001278BC">
      <w:pPr>
        <w:spacing w:after="0" w:line="259" w:lineRule="auto"/>
        <w:ind w:left="0" w:right="0" w:firstLine="0"/>
        <w:jc w:val="left"/>
      </w:pPr>
    </w:p>
    <w:p w:rsidR="001278BC" w:rsidRPr="006753A9" w:rsidRDefault="001278BC">
      <w:pPr>
        <w:spacing w:after="0" w:line="259" w:lineRule="auto"/>
        <w:ind w:left="0" w:right="0" w:firstLine="0"/>
        <w:jc w:val="left"/>
        <w:rPr>
          <w:strike/>
        </w:rPr>
      </w:pP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tabs>
          <w:tab w:val="center" w:pos="6800"/>
        </w:tabs>
        <w:spacing w:after="53" w:line="250" w:lineRule="auto"/>
        <w:ind w:left="-15" w:right="0" w:firstLine="0"/>
        <w:jc w:val="left"/>
      </w:pPr>
      <w:r w:rsidRPr="006753A9">
        <w:rPr>
          <w:b/>
        </w:rPr>
        <w:t xml:space="preserve">À </w:t>
      </w:r>
      <w:proofErr w:type="gramStart"/>
      <w:r w:rsidR="008F22F7" w:rsidRPr="006753A9">
        <w:rPr>
          <w:b/>
        </w:rPr>
        <w:t>Piolenc</w:t>
      </w:r>
      <w:r w:rsidRPr="006753A9">
        <w:rPr>
          <w:b/>
        </w:rPr>
        <w:t xml:space="preserve">  </w:t>
      </w:r>
      <w:r w:rsidRPr="006753A9">
        <w:rPr>
          <w:b/>
        </w:rPr>
        <w:tab/>
      </w:r>
      <w:proofErr w:type="gramEnd"/>
      <w:r w:rsidRPr="006753A9">
        <w:rPr>
          <w:b/>
        </w:rPr>
        <w:t xml:space="preserve">Le représentant du Coordonnateur </w:t>
      </w:r>
    </w:p>
    <w:p w:rsidR="001278BC" w:rsidRPr="006753A9" w:rsidRDefault="00FA5DCE">
      <w:pPr>
        <w:spacing w:after="0" w:line="259" w:lineRule="auto"/>
        <w:ind w:left="0" w:right="0" w:firstLine="0"/>
        <w:jc w:val="left"/>
      </w:pPr>
      <w:r w:rsidRPr="006753A9">
        <w:rPr>
          <w:b/>
        </w:rPr>
        <w:t xml:space="preserve"> </w:t>
      </w:r>
    </w:p>
    <w:p w:rsidR="001278BC" w:rsidRPr="006753A9" w:rsidRDefault="00FA5DCE">
      <w:pPr>
        <w:tabs>
          <w:tab w:val="center" w:pos="6800"/>
        </w:tabs>
        <w:spacing w:line="250" w:lineRule="auto"/>
        <w:ind w:left="-15" w:right="0" w:firstLine="0"/>
        <w:jc w:val="left"/>
      </w:pPr>
      <w:proofErr w:type="gramStart"/>
      <w:r w:rsidRPr="006753A9">
        <w:rPr>
          <w:b/>
        </w:rPr>
        <w:t>le</w:t>
      </w:r>
      <w:proofErr w:type="gramEnd"/>
      <w:r w:rsidRPr="006753A9">
        <w:rPr>
          <w:b/>
        </w:rPr>
        <w:tab/>
      </w:r>
      <w:proofErr w:type="spellStart"/>
      <w:r w:rsidRPr="006753A9">
        <w:rPr>
          <w:b/>
        </w:rPr>
        <w:t>Le</w:t>
      </w:r>
      <w:proofErr w:type="spellEnd"/>
      <w:r w:rsidRPr="006753A9">
        <w:rPr>
          <w:b/>
        </w:rPr>
        <w:t xml:space="preserve"> Maire de </w:t>
      </w:r>
      <w:r w:rsidR="008F22F7" w:rsidRPr="006753A9">
        <w:rPr>
          <w:b/>
        </w:rPr>
        <w:t>Piolenc</w:t>
      </w:r>
    </w:p>
    <w:p w:rsidR="001278BC" w:rsidRPr="006753A9" w:rsidRDefault="00FA5DCE">
      <w:pPr>
        <w:spacing w:after="151" w:line="259" w:lineRule="auto"/>
        <w:ind w:left="5631" w:right="0" w:firstLine="0"/>
        <w:jc w:val="left"/>
      </w:pPr>
      <w:bookmarkStart w:id="5" w:name="_GoBack"/>
      <w:r w:rsidRPr="006753A9">
        <w:rPr>
          <w:rFonts w:eastAsia="Calibri"/>
          <w:noProof/>
        </w:rPr>
        <mc:AlternateContent>
          <mc:Choice Requires="wpg">
            <w:drawing>
              <wp:inline distT="0" distB="0" distL="0" distR="0">
                <wp:extent cx="51809" cy="831237"/>
                <wp:effectExtent l="0" t="0" r="0" b="0"/>
                <wp:docPr id="21178" name="Group 21178"/>
                <wp:cNvGraphicFramePr/>
                <a:graphic xmlns:a="http://schemas.openxmlformats.org/drawingml/2006/main">
                  <a:graphicData uri="http://schemas.microsoft.com/office/word/2010/wordprocessingGroup">
                    <wpg:wgp>
                      <wpg:cNvGrpSpPr/>
                      <wpg:grpSpPr>
                        <a:xfrm>
                          <a:off x="0" y="0"/>
                          <a:ext cx="51809" cy="831237"/>
                          <a:chOff x="741172" y="93838"/>
                          <a:chExt cx="51809" cy="831237"/>
                        </a:xfrm>
                      </wpg:grpSpPr>
                      <wps:wsp>
                        <wps:cNvPr id="2968" name="Rectangle 2968"/>
                        <wps:cNvSpPr/>
                        <wps:spPr>
                          <a:xfrm>
                            <a:off x="741172" y="93838"/>
                            <a:ext cx="51809" cy="207921"/>
                          </a:xfrm>
                          <a:prstGeom prst="rect">
                            <a:avLst/>
                          </a:prstGeom>
                          <a:ln>
                            <a:noFill/>
                          </a:ln>
                        </wps:spPr>
                        <wps:txbx>
                          <w:txbxContent>
                            <w:p w:rsidR="00674CEC" w:rsidRDefault="00674CE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69" name="Rectangle 2969"/>
                        <wps:cNvSpPr/>
                        <wps:spPr>
                          <a:xfrm>
                            <a:off x="741172" y="406257"/>
                            <a:ext cx="51809" cy="207921"/>
                          </a:xfrm>
                          <a:prstGeom prst="rect">
                            <a:avLst/>
                          </a:prstGeom>
                          <a:ln>
                            <a:noFill/>
                          </a:ln>
                        </wps:spPr>
                        <wps:txbx>
                          <w:txbxContent>
                            <w:p w:rsidR="00674CEC" w:rsidRDefault="00674CEC">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70" name="Rectangle 2970"/>
                        <wps:cNvSpPr/>
                        <wps:spPr>
                          <a:xfrm>
                            <a:off x="741172" y="717154"/>
                            <a:ext cx="51809" cy="207921"/>
                          </a:xfrm>
                          <a:prstGeom prst="rect">
                            <a:avLst/>
                          </a:prstGeom>
                          <a:ln>
                            <a:noFill/>
                          </a:ln>
                        </wps:spPr>
                        <wps:txbx>
                          <w:txbxContent>
                            <w:p w:rsidR="00674CEC" w:rsidRDefault="00674CEC">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1178" o:spid="_x0000_s1026" style="width:4.1pt;height:65.45pt;mso-position-horizontal-relative:char;mso-position-vertical-relative:line" coordorigin="7411,938" coordsize="51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">
                <v:rect id="Rectangle 2968" o:spid="_x0000_s1027" style="position:absolute;left:7411;top:9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rsidR="00674CEC" w:rsidRDefault="00674CEC">
                        <w:pPr>
                          <w:spacing w:after="160" w:line="259" w:lineRule="auto"/>
                          <w:ind w:left="0" w:right="0" w:firstLine="0"/>
                          <w:jc w:val="left"/>
                        </w:pPr>
                        <w:r>
                          <w:rPr>
                            <w:b/>
                          </w:rPr>
                          <w:t xml:space="preserve"> </w:t>
                        </w:r>
                      </w:p>
                    </w:txbxContent>
                  </v:textbox>
                </v:rect>
                <v:rect id="Rectangle 2969" o:spid="_x0000_s1028" style="position:absolute;left:7411;top:40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rsidR="00674CEC" w:rsidRDefault="00674CEC">
                        <w:pPr>
                          <w:spacing w:after="160" w:line="259" w:lineRule="auto"/>
                          <w:ind w:left="0" w:right="0" w:firstLine="0"/>
                          <w:jc w:val="left"/>
                        </w:pPr>
                        <w:r>
                          <w:rPr>
                            <w:b/>
                          </w:rPr>
                          <w:t xml:space="preserve"> </w:t>
                        </w:r>
                      </w:p>
                    </w:txbxContent>
                  </v:textbox>
                </v:rect>
                <v:rect id="Rectangle 2970" o:spid="_x0000_s1029" style="position:absolute;left:7411;top:71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rsidR="00674CEC" w:rsidRDefault="00674CEC">
                        <w:pPr>
                          <w:spacing w:after="160" w:line="259" w:lineRule="auto"/>
                          <w:ind w:left="0" w:right="0" w:firstLine="0"/>
                          <w:jc w:val="left"/>
                        </w:pPr>
                        <w:r>
                          <w:rPr>
                            <w:b/>
                          </w:rPr>
                          <w:t xml:space="preserve"> </w:t>
                        </w:r>
                      </w:p>
                    </w:txbxContent>
                  </v:textbox>
                </v:rect>
                <w10:anchorlock/>
              </v:group>
            </w:pict>
          </mc:Fallback>
        </mc:AlternateContent>
      </w:r>
      <w:bookmarkEnd w:id="5"/>
    </w:p>
    <w:p w:rsidR="001278BC" w:rsidRPr="006753A9" w:rsidRDefault="008F22F7">
      <w:pPr>
        <w:spacing w:line="250" w:lineRule="auto"/>
        <w:ind w:left="5860" w:right="0"/>
      </w:pPr>
      <w:r w:rsidRPr="006753A9">
        <w:rPr>
          <w:b/>
        </w:rPr>
        <w:t>Louis DRIEY</w:t>
      </w:r>
      <w:r w:rsidR="00FA5DCE" w:rsidRPr="006753A9">
        <w:rPr>
          <w:b/>
        </w:rPr>
        <w:t xml:space="preserve"> </w:t>
      </w:r>
    </w:p>
    <w:sectPr w:rsidR="001278BC" w:rsidRPr="006753A9">
      <w:footerReference w:type="even" r:id="rId10"/>
      <w:footerReference w:type="default" r:id="rId11"/>
      <w:footerReference w:type="first" r:id="rId12"/>
      <w:pgSz w:w="11899" w:h="16841"/>
      <w:pgMar w:top="1383" w:right="1013" w:bottom="1271" w:left="1284" w:header="72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51" w:rsidRDefault="00805B51">
      <w:pPr>
        <w:spacing w:after="0" w:line="240" w:lineRule="auto"/>
      </w:pPr>
      <w:r>
        <w:separator/>
      </w:r>
    </w:p>
  </w:endnote>
  <w:endnote w:type="continuationSeparator" w:id="0">
    <w:p w:rsidR="00805B51" w:rsidRDefault="0080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EC" w:rsidRDefault="00674CEC">
    <w:pPr>
      <w:spacing w:after="0" w:line="259" w:lineRule="auto"/>
      <w:ind w:left="0" w:right="0" w:firstLine="0"/>
    </w:pPr>
    <w:r>
      <w:rPr>
        <w:sz w:val="20"/>
      </w:rPr>
      <w:t xml:space="preserve">                                                                       Page </w:t>
    </w:r>
    <w:r>
      <w:fldChar w:fldCharType="begin"/>
    </w:r>
    <w:r>
      <w:instrText xml:space="preserve"> PAGE   \* MERGEFORMAT </w:instrText>
    </w:r>
    <w:r>
      <w:fldChar w:fldCharType="separate"/>
    </w:r>
    <w:r>
      <w:rPr>
        <w:sz w:val="20"/>
      </w:rPr>
      <w:t>10</w:t>
    </w:r>
    <w:r>
      <w:rPr>
        <w:sz w:val="20"/>
      </w:rPr>
      <w:fldChar w:fldCharType="end"/>
    </w:r>
    <w:r>
      <w:rPr>
        <w:sz w:val="20"/>
      </w:rPr>
      <w:t xml:space="preserve"> sur </w:t>
    </w:r>
    <w:r w:rsidR="003B5607">
      <w:fldChar w:fldCharType="begin"/>
    </w:r>
    <w:r w:rsidR="003B5607">
      <w:instrText xml:space="preserve"> NUMPAGES   \* MERGEFORMAT </w:instrText>
    </w:r>
    <w:r w:rsidR="003B5607">
      <w:fldChar w:fldCharType="separate"/>
    </w:r>
    <w:r>
      <w:rPr>
        <w:sz w:val="20"/>
      </w:rPr>
      <w:t>12</w:t>
    </w:r>
    <w:r w:rsidR="003B5607">
      <w:rPr>
        <w:sz w:val="20"/>
      </w:rPr>
      <w:fldChar w:fldCharType="end"/>
    </w:r>
    <w:r>
      <w:rPr>
        <w:sz w:val="20"/>
      </w:rPr>
      <w:t xml:space="preserve">                                MOE TC – Secteur 4 – </w:t>
    </w:r>
    <w:r>
      <w:rPr>
        <w:b/>
        <w:sz w:val="20"/>
      </w:rPr>
      <w:t>R.C.</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EC" w:rsidRDefault="00674CEC">
    <w:pPr>
      <w:spacing w:after="0" w:line="259" w:lineRule="auto"/>
      <w:ind w:left="0" w:right="0" w:firstLine="0"/>
    </w:pPr>
    <w:r>
      <w:rPr>
        <w:sz w:val="20"/>
      </w:rPr>
      <w:t xml:space="preserve">                                                                       </w:t>
    </w:r>
    <w:r>
      <w:rPr>
        <w:b/>
        <w:sz w:val="20"/>
      </w:rPr>
      <w:t>R.C.</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EC" w:rsidRDefault="00674CEC">
    <w:pPr>
      <w:spacing w:after="0" w:line="259" w:lineRule="auto"/>
      <w:ind w:left="0" w:right="0" w:firstLine="0"/>
    </w:pPr>
    <w:r>
      <w:rPr>
        <w:sz w:val="20"/>
      </w:rPr>
      <w:t xml:space="preserve">                                                                       Page </w:t>
    </w:r>
    <w:r>
      <w:fldChar w:fldCharType="begin"/>
    </w:r>
    <w:r>
      <w:instrText xml:space="preserve"> PAGE   \* MERGEFORMAT </w:instrText>
    </w:r>
    <w:r>
      <w:fldChar w:fldCharType="separate"/>
    </w:r>
    <w:r>
      <w:rPr>
        <w:sz w:val="20"/>
      </w:rPr>
      <w:t>10</w:t>
    </w:r>
    <w:r>
      <w:rPr>
        <w:sz w:val="20"/>
      </w:rPr>
      <w:fldChar w:fldCharType="end"/>
    </w:r>
    <w:r>
      <w:rPr>
        <w:sz w:val="20"/>
      </w:rPr>
      <w:t xml:space="preserve"> sur </w:t>
    </w:r>
    <w:r w:rsidR="003B5607">
      <w:fldChar w:fldCharType="begin"/>
    </w:r>
    <w:r w:rsidR="003B5607">
      <w:instrText xml:space="preserve"> NUMPAGES   \* MERGEFORMAT </w:instrText>
    </w:r>
    <w:r w:rsidR="003B5607">
      <w:fldChar w:fldCharType="separate"/>
    </w:r>
    <w:r>
      <w:rPr>
        <w:sz w:val="20"/>
      </w:rPr>
      <w:t>12</w:t>
    </w:r>
    <w:r w:rsidR="003B5607">
      <w:rPr>
        <w:sz w:val="20"/>
      </w:rPr>
      <w:fldChar w:fldCharType="end"/>
    </w:r>
    <w:r>
      <w:rPr>
        <w:sz w:val="20"/>
      </w:rPr>
      <w:t xml:space="preserve">                                MOE TC – Secteur 4 – </w:t>
    </w:r>
    <w:r>
      <w:rPr>
        <w:b/>
        <w:sz w:val="20"/>
      </w:rPr>
      <w:t>R.C.</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51" w:rsidRDefault="00805B51">
      <w:pPr>
        <w:spacing w:after="0" w:line="240" w:lineRule="auto"/>
      </w:pPr>
      <w:r>
        <w:separator/>
      </w:r>
    </w:p>
  </w:footnote>
  <w:footnote w:type="continuationSeparator" w:id="0">
    <w:p w:rsidR="00805B51" w:rsidRDefault="00805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9"/>
    <w:multiLevelType w:val="singleLevel"/>
    <w:tmpl w:val="00000009"/>
    <w:name w:val="WW8Num38"/>
    <w:lvl w:ilvl="0">
      <w:start w:val="1"/>
      <w:numFmt w:val="bullet"/>
      <w:lvlText w:val=""/>
      <w:lvlJc w:val="left"/>
      <w:pPr>
        <w:tabs>
          <w:tab w:val="num" w:pos="360"/>
        </w:tabs>
        <w:ind w:left="360" w:hanging="360"/>
      </w:pPr>
      <w:rPr>
        <w:rFonts w:ascii="Symbol" w:hAnsi="Symbol"/>
      </w:rPr>
    </w:lvl>
  </w:abstractNum>
  <w:abstractNum w:abstractNumId="2" w15:restartNumberingAfterBreak="0">
    <w:nsid w:val="009338BE"/>
    <w:multiLevelType w:val="hybridMultilevel"/>
    <w:tmpl w:val="3A0EAE5E"/>
    <w:lvl w:ilvl="0" w:tplc="CED0AD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063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FE5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663C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7A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C02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C448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08B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C7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F824C9"/>
    <w:multiLevelType w:val="hybridMultilevel"/>
    <w:tmpl w:val="C0A4F49A"/>
    <w:lvl w:ilvl="0" w:tplc="836E981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C0BA60">
      <w:start w:val="1"/>
      <w:numFmt w:val="bullet"/>
      <w:lvlText w:val=""/>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3E06B4">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CC312C">
      <w:start w:val="1"/>
      <w:numFmt w:val="bullet"/>
      <w:lvlText w:val="•"/>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D45336">
      <w:start w:val="1"/>
      <w:numFmt w:val="bullet"/>
      <w:lvlText w:val="o"/>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D4C286">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7E68DA">
      <w:start w:val="1"/>
      <w:numFmt w:val="bullet"/>
      <w:lvlText w:val="•"/>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F027DE">
      <w:start w:val="1"/>
      <w:numFmt w:val="bullet"/>
      <w:lvlText w:val="o"/>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2AC750">
      <w:start w:val="1"/>
      <w:numFmt w:val="bullet"/>
      <w:lvlText w:val="▪"/>
      <w:lvlJc w:val="left"/>
      <w:pPr>
        <w:ind w:left="6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C123E"/>
    <w:multiLevelType w:val="hybridMultilevel"/>
    <w:tmpl w:val="28F83F92"/>
    <w:lvl w:ilvl="0" w:tplc="040C0001">
      <w:start w:val="1"/>
      <w:numFmt w:val="bullet"/>
      <w:lvlText w:val=""/>
      <w:lvlJc w:val="left"/>
      <w:pPr>
        <w:tabs>
          <w:tab w:val="num" w:pos="720"/>
        </w:tabs>
        <w:ind w:left="720" w:hanging="360"/>
      </w:pPr>
      <w:rPr>
        <w:rFonts w:ascii="Symbol" w:hAnsi="Symbol" w:hint="default"/>
        <w:sz w:val="24"/>
      </w:rPr>
    </w:lvl>
    <w:lvl w:ilvl="1" w:tplc="5E3454AE">
      <w:start w:val="1"/>
      <w:numFmt w:val="bullet"/>
      <w:lvlText w:val=""/>
      <w:lvlPicBulletId w:val="0"/>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77D4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6" w15:restartNumberingAfterBreak="0">
    <w:nsid w:val="17431200"/>
    <w:multiLevelType w:val="hybridMultilevel"/>
    <w:tmpl w:val="60003942"/>
    <w:lvl w:ilvl="0" w:tplc="2402C4B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41FF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F258F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AC9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62B6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0E1C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E63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8588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36726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33EBC"/>
    <w:multiLevelType w:val="hybridMultilevel"/>
    <w:tmpl w:val="E3E8B952"/>
    <w:lvl w:ilvl="0" w:tplc="19F63208">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E9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0BC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306A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A96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E79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6690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49A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669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56182B"/>
    <w:multiLevelType w:val="singleLevel"/>
    <w:tmpl w:val="95205CA4"/>
    <w:lvl w:ilvl="0">
      <w:start w:val="1"/>
      <w:numFmt w:val="bullet"/>
      <w:lvlText w:val="·"/>
      <w:legacy w:legacy="1" w:legacySpace="0" w:legacyIndent="284"/>
      <w:lvlJc w:val="left"/>
      <w:pPr>
        <w:ind w:left="284" w:hanging="284"/>
      </w:pPr>
      <w:rPr>
        <w:rFonts w:ascii="Symbol" w:hAnsi="Symbol" w:hint="default"/>
        <w:color w:val="auto"/>
      </w:rPr>
    </w:lvl>
  </w:abstractNum>
  <w:abstractNum w:abstractNumId="9" w15:restartNumberingAfterBreak="0">
    <w:nsid w:val="31960310"/>
    <w:multiLevelType w:val="hybridMultilevel"/>
    <w:tmpl w:val="6D7825D2"/>
    <w:lvl w:ilvl="0" w:tplc="6DCA3F0A">
      <w:start w:val="1"/>
      <w:numFmt w:val="upperLetter"/>
      <w:lvlText w:val="%1"/>
      <w:lvlJc w:val="left"/>
      <w:pPr>
        <w:ind w:left="566"/>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CBF05CA2">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8037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AEA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C86E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5C320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84E4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B43D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EA12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3A6547"/>
    <w:multiLevelType w:val="hybridMultilevel"/>
    <w:tmpl w:val="2FA2DEA4"/>
    <w:lvl w:ilvl="0" w:tplc="C4A69552">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EC13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2822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2D35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4A40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049A6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C594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2918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0308E">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CA1C52"/>
    <w:multiLevelType w:val="hybridMultilevel"/>
    <w:tmpl w:val="53208220"/>
    <w:lvl w:ilvl="0" w:tplc="6430E2E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ADEC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7E8C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4486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4E120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4F7B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98BD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06FF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68AA0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5D73F4"/>
    <w:multiLevelType w:val="hybridMultilevel"/>
    <w:tmpl w:val="2C70333A"/>
    <w:lvl w:ilvl="0" w:tplc="BE0ED99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2936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04A5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8F94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FEB12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3EEA4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06F7B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A6C3B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CA35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953B6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4" w15:restartNumberingAfterBreak="0">
    <w:nsid w:val="5CEF7968"/>
    <w:multiLevelType w:val="hybridMultilevel"/>
    <w:tmpl w:val="DB803B34"/>
    <w:lvl w:ilvl="0" w:tplc="AF8065DE">
      <w:start w:val="1"/>
      <w:numFmt w:val="bullet"/>
      <w:lvlText w:val="-"/>
      <w:lvlJc w:val="left"/>
      <w:pPr>
        <w:ind w:left="1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9B8209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2C007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3C718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9016D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F41C8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DC4E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DAC6B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DC330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504C71"/>
    <w:multiLevelType w:val="hybridMultilevel"/>
    <w:tmpl w:val="BE14957A"/>
    <w:lvl w:ilvl="0" w:tplc="0738572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C8287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4501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08529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CF57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A8435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C6D1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87D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CD2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176EBF"/>
    <w:multiLevelType w:val="hybridMultilevel"/>
    <w:tmpl w:val="CF8A8EA0"/>
    <w:lvl w:ilvl="0" w:tplc="0F64D01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0895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EE124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EAC4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781BD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295F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6EA6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CCF6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05A4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401B26"/>
    <w:multiLevelType w:val="hybridMultilevel"/>
    <w:tmpl w:val="64B83FE8"/>
    <w:lvl w:ilvl="0" w:tplc="2E22302A">
      <w:start w:val="1"/>
      <w:numFmt w:val="bullet"/>
      <w:lvlText w:val="*"/>
      <w:lvlJc w:val="left"/>
      <w:pPr>
        <w:tabs>
          <w:tab w:val="num" w:pos="1854"/>
        </w:tabs>
        <w:ind w:left="185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B4936"/>
    <w:multiLevelType w:val="hybridMultilevel"/>
    <w:tmpl w:val="B35076A2"/>
    <w:lvl w:ilvl="0" w:tplc="B0AAE18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2E0E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4F0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255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C191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20D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6CC9C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62CA8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F80D9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8238DC"/>
    <w:multiLevelType w:val="hybridMultilevel"/>
    <w:tmpl w:val="09FEC770"/>
    <w:lvl w:ilvl="0" w:tplc="CABC084E">
      <w:start w:val="1"/>
      <w:numFmt w:val="bullet"/>
      <w:lvlText w:val="-"/>
      <w:lvlJc w:val="left"/>
      <w:pPr>
        <w:ind w:left="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1C946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05D0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EDF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DC8E9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4C4B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92F9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5A0D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E844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8214A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15"/>
  </w:num>
  <w:num w:numId="2">
    <w:abstractNumId w:val="10"/>
  </w:num>
  <w:num w:numId="3">
    <w:abstractNumId w:val="6"/>
  </w:num>
  <w:num w:numId="4">
    <w:abstractNumId w:val="9"/>
  </w:num>
  <w:num w:numId="5">
    <w:abstractNumId w:val="16"/>
  </w:num>
  <w:num w:numId="6">
    <w:abstractNumId w:val="12"/>
  </w:num>
  <w:num w:numId="7">
    <w:abstractNumId w:val="14"/>
  </w:num>
  <w:num w:numId="8">
    <w:abstractNumId w:val="2"/>
  </w:num>
  <w:num w:numId="9">
    <w:abstractNumId w:val="19"/>
  </w:num>
  <w:num w:numId="10">
    <w:abstractNumId w:val="7"/>
  </w:num>
  <w:num w:numId="11">
    <w:abstractNumId w:val="3"/>
  </w:num>
  <w:num w:numId="12">
    <w:abstractNumId w:val="18"/>
  </w:num>
  <w:num w:numId="13">
    <w:abstractNumId w:val="11"/>
  </w:num>
  <w:num w:numId="14">
    <w:abstractNumId w:val="20"/>
  </w:num>
  <w:num w:numId="15">
    <w:abstractNumId w:val="13"/>
  </w:num>
  <w:num w:numId="16">
    <w:abstractNumId w:val="5"/>
  </w:num>
  <w:num w:numId="17">
    <w:abstractNumId w:val="17"/>
  </w:num>
  <w:num w:numId="18">
    <w:abstractNumId w:val="8"/>
  </w:num>
  <w:num w:numId="19">
    <w:abstractNumId w:val="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BC"/>
    <w:rsid w:val="00096557"/>
    <w:rsid w:val="00101A97"/>
    <w:rsid w:val="001278BC"/>
    <w:rsid w:val="0014761B"/>
    <w:rsid w:val="001B0653"/>
    <w:rsid w:val="0021116A"/>
    <w:rsid w:val="00271CDF"/>
    <w:rsid w:val="00286FCA"/>
    <w:rsid w:val="003B5607"/>
    <w:rsid w:val="003E5739"/>
    <w:rsid w:val="00462841"/>
    <w:rsid w:val="004C1653"/>
    <w:rsid w:val="004D39F8"/>
    <w:rsid w:val="005B020E"/>
    <w:rsid w:val="006437D2"/>
    <w:rsid w:val="00674CEC"/>
    <w:rsid w:val="006753A9"/>
    <w:rsid w:val="00744B8D"/>
    <w:rsid w:val="007B3EA1"/>
    <w:rsid w:val="007C0E4C"/>
    <w:rsid w:val="007F79F5"/>
    <w:rsid w:val="00805B51"/>
    <w:rsid w:val="008F22F7"/>
    <w:rsid w:val="008F2C0D"/>
    <w:rsid w:val="00993AF3"/>
    <w:rsid w:val="00AD6D6C"/>
    <w:rsid w:val="00BC7551"/>
    <w:rsid w:val="00CE0CED"/>
    <w:rsid w:val="00DB2AF3"/>
    <w:rsid w:val="00DC684E"/>
    <w:rsid w:val="00DD7817"/>
    <w:rsid w:val="00DE5A5E"/>
    <w:rsid w:val="00E62E9A"/>
    <w:rsid w:val="00F15FCB"/>
    <w:rsid w:val="00FA5DCE"/>
    <w:rsid w:val="00FE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8D88E8-4032-4BFE-A304-AFB4E4DA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F8"/>
    <w:pPr>
      <w:spacing w:after="4" w:line="248" w:lineRule="auto"/>
      <w:ind w:left="10" w:right="3"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color w:val="000000"/>
      <w:sz w:val="24"/>
      <w:u w:val="single" w:color="000000"/>
    </w:rPr>
  </w:style>
  <w:style w:type="paragraph" w:styleId="Titre3">
    <w:name w:val="heading 3"/>
    <w:next w:val="Normal"/>
    <w:link w:val="Titre3Car"/>
    <w:uiPriority w:val="9"/>
    <w:unhideWhenUsed/>
    <w:qFormat/>
    <w:pPr>
      <w:keepNext/>
      <w:keepLines/>
      <w:spacing w:after="3"/>
      <w:ind w:left="730" w:hanging="10"/>
      <w:outlineLvl w:val="2"/>
    </w:pPr>
    <w:rPr>
      <w:rFonts w:ascii="Arial" w:eastAsia="Arial" w:hAnsi="Arial" w:cs="Arial"/>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color w:val="000000"/>
      <w:sz w:val="22"/>
      <w:u w:val="single" w:color="000000"/>
    </w:rPr>
  </w:style>
  <w:style w:type="character" w:customStyle="1" w:styleId="Titre2Car">
    <w:name w:val="Titre 2 Car"/>
    <w:link w:val="Titre2"/>
    <w:rPr>
      <w:rFonts w:ascii="Arial" w:eastAsia="Arial" w:hAnsi="Arial" w:cs="Arial"/>
      <w:color w:val="000000"/>
      <w:sz w:val="24"/>
      <w:u w:val="single" w:color="000000"/>
    </w:rPr>
  </w:style>
  <w:style w:type="character" w:customStyle="1" w:styleId="Titre1Car">
    <w:name w:val="Titre 1 Car"/>
    <w:link w:val="Titre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FA5DCE"/>
    <w:rPr>
      <w:color w:val="0563C1" w:themeColor="hyperlink"/>
      <w:u w:val="single"/>
    </w:rPr>
  </w:style>
  <w:style w:type="character" w:customStyle="1" w:styleId="Mentionnonrsolue1">
    <w:name w:val="Mention non résolue1"/>
    <w:basedOn w:val="Policepardfaut"/>
    <w:uiPriority w:val="99"/>
    <w:semiHidden/>
    <w:unhideWhenUsed/>
    <w:rsid w:val="00FA5DCE"/>
    <w:rPr>
      <w:color w:val="808080"/>
      <w:shd w:val="clear" w:color="auto" w:fill="E6E6E6"/>
    </w:rPr>
  </w:style>
  <w:style w:type="paragraph" w:customStyle="1" w:styleId="Normal2">
    <w:name w:val="Normal2"/>
    <w:basedOn w:val="Normal"/>
    <w:link w:val="Normal2Car"/>
    <w:rsid w:val="007C0E4C"/>
    <w:pPr>
      <w:keepLines/>
      <w:tabs>
        <w:tab w:val="left" w:pos="567"/>
        <w:tab w:val="left" w:pos="851"/>
        <w:tab w:val="left" w:pos="1134"/>
      </w:tabs>
      <w:spacing w:after="0" w:line="240" w:lineRule="auto"/>
      <w:ind w:left="284" w:right="0" w:firstLine="284"/>
    </w:pPr>
    <w:rPr>
      <w:rFonts w:ascii="Times New Roman" w:eastAsia="Times New Roman" w:hAnsi="Times New Roman" w:cs="Times New Roman"/>
      <w:color w:val="auto"/>
      <w:szCs w:val="20"/>
    </w:rPr>
  </w:style>
  <w:style w:type="character" w:customStyle="1" w:styleId="Normal2Car">
    <w:name w:val="Normal2 Car"/>
    <w:link w:val="Normal2"/>
    <w:rsid w:val="007C0E4C"/>
    <w:rPr>
      <w:rFonts w:ascii="Times New Roman" w:eastAsia="Times New Roman" w:hAnsi="Times New Roman" w:cs="Times New Roman"/>
      <w:szCs w:val="20"/>
    </w:rPr>
  </w:style>
  <w:style w:type="paragraph" w:customStyle="1" w:styleId="Normal1">
    <w:name w:val="Normal1"/>
    <w:basedOn w:val="Normal"/>
    <w:link w:val="Normal1Car"/>
    <w:rsid w:val="00271CDF"/>
    <w:pPr>
      <w:keepLines/>
      <w:tabs>
        <w:tab w:val="left" w:pos="284"/>
        <w:tab w:val="left" w:pos="567"/>
        <w:tab w:val="left" w:pos="851"/>
      </w:tabs>
      <w:spacing w:after="0" w:line="240" w:lineRule="auto"/>
      <w:ind w:left="0" w:right="0" w:firstLine="284"/>
    </w:pPr>
    <w:rPr>
      <w:rFonts w:ascii="Times New Roman" w:eastAsia="Times New Roman" w:hAnsi="Times New Roman" w:cs="Times New Roman"/>
      <w:color w:val="auto"/>
      <w:szCs w:val="20"/>
    </w:rPr>
  </w:style>
  <w:style w:type="character" w:customStyle="1" w:styleId="Normal1Car">
    <w:name w:val="Normal1 Car"/>
    <w:link w:val="Normal1"/>
    <w:locked/>
    <w:rsid w:val="00271CDF"/>
    <w:rPr>
      <w:rFonts w:ascii="Times New Roman" w:eastAsia="Times New Roman" w:hAnsi="Times New Roman" w:cs="Times New Roman"/>
      <w:szCs w:val="20"/>
    </w:rPr>
  </w:style>
  <w:style w:type="paragraph" w:styleId="Paragraphedeliste">
    <w:name w:val="List Paragraph"/>
    <w:basedOn w:val="Normal"/>
    <w:uiPriority w:val="34"/>
    <w:qFormat/>
    <w:rsid w:val="00271CDF"/>
    <w:pPr>
      <w:spacing w:after="200" w:line="276" w:lineRule="auto"/>
      <w:ind w:left="720" w:right="0" w:firstLine="0"/>
      <w:contextualSpacing/>
      <w:jc w:val="left"/>
    </w:pPr>
    <w:rPr>
      <w:rFonts w:ascii="Calibri" w:eastAsia="Calibri" w:hAnsi="Calibri" w:cs="Times New Roman"/>
      <w:color w:val="auto"/>
      <w:lang w:eastAsia="en-US"/>
    </w:rPr>
  </w:style>
  <w:style w:type="paragraph" w:customStyle="1" w:styleId="Char1Char">
    <w:name w:val="Char1 Char"/>
    <w:basedOn w:val="Normal"/>
    <w:rsid w:val="00271CDF"/>
    <w:pPr>
      <w:spacing w:after="160" w:line="240" w:lineRule="exact"/>
      <w:ind w:left="0" w:right="0" w:firstLine="0"/>
      <w:jc w:val="left"/>
    </w:pPr>
    <w:rPr>
      <w:rFonts w:ascii="Verdana" w:eastAsia="Times New Roman" w:hAnsi="Verdana" w:cs="Verdana"/>
      <w:color w:val="auto"/>
      <w:sz w:val="20"/>
      <w:szCs w:val="20"/>
      <w:lang w:val="en-US" w:eastAsia="en-US"/>
    </w:rPr>
  </w:style>
  <w:style w:type="paragraph" w:styleId="En-tte">
    <w:name w:val="header"/>
    <w:basedOn w:val="Normal"/>
    <w:link w:val="En-tteCar"/>
    <w:uiPriority w:val="99"/>
    <w:unhideWhenUsed/>
    <w:rsid w:val="005B020E"/>
    <w:pPr>
      <w:tabs>
        <w:tab w:val="center" w:pos="4536"/>
        <w:tab w:val="right" w:pos="9072"/>
      </w:tabs>
      <w:spacing w:after="0" w:line="240" w:lineRule="auto"/>
    </w:pPr>
  </w:style>
  <w:style w:type="character" w:customStyle="1" w:styleId="En-tteCar">
    <w:name w:val="En-tête Car"/>
    <w:basedOn w:val="Policepardfaut"/>
    <w:link w:val="En-tte"/>
    <w:uiPriority w:val="99"/>
    <w:rsid w:val="005B020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marchespubl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rie-piolenc.f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onomie.gouv.fr/daj"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4762</Words>
  <Characters>26192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Réglement de consultation</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de consultation</dc:title>
  <dc:subject/>
  <dc:creator>Groupement de commande</dc:creator>
  <cp:keywords/>
  <cp:lastModifiedBy>Isabelle RIMET</cp:lastModifiedBy>
  <cp:revision>15</cp:revision>
  <dcterms:created xsi:type="dcterms:W3CDTF">2018-04-16T15:32:00Z</dcterms:created>
  <dcterms:modified xsi:type="dcterms:W3CDTF">2018-05-14T08:12:00Z</dcterms:modified>
</cp:coreProperties>
</file>