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A3E5" w14:textId="054BC536" w:rsidR="00A8538E" w:rsidRDefault="00A6768D" w:rsidP="0082081C">
      <w:pPr>
        <w:tabs>
          <w:tab w:val="center" w:pos="5171"/>
          <w:tab w:val="center" w:pos="9425"/>
        </w:tabs>
        <w:spacing w:after="0" w:line="259" w:lineRule="auto"/>
        <w:ind w:left="0" w:right="0" w:firstLine="0"/>
        <w:jc w:val="left"/>
      </w:pPr>
      <w:r>
        <w:rPr>
          <w:rFonts w:ascii="Calibri" w:eastAsia="Calibri" w:hAnsi="Calibri" w:cs="Calibri"/>
        </w:rPr>
        <w:tab/>
      </w:r>
      <w:r>
        <w:rPr>
          <w:b/>
          <w:i/>
          <w:sz w:val="37"/>
          <w:vertAlign w:val="superscript"/>
        </w:rPr>
        <w:t xml:space="preserve"> </w:t>
      </w:r>
      <w:r>
        <w:rPr>
          <w:b/>
          <w:i/>
          <w:sz w:val="37"/>
          <w:vertAlign w:val="superscript"/>
        </w:rPr>
        <w:tab/>
      </w:r>
    </w:p>
    <w:p w14:paraId="79C04A0D" w14:textId="77777777" w:rsidR="00A8538E" w:rsidRDefault="00A6768D">
      <w:pPr>
        <w:pBdr>
          <w:left w:val="single" w:sz="4" w:space="0" w:color="FFFFFF"/>
          <w:right w:val="single" w:sz="4" w:space="0" w:color="FFFFFF"/>
        </w:pBdr>
        <w:shd w:val="clear" w:color="auto" w:fill="C0C0C0"/>
        <w:spacing w:after="7" w:line="259" w:lineRule="auto"/>
        <w:ind w:left="0" w:right="4" w:firstLine="0"/>
        <w:jc w:val="center"/>
      </w:pPr>
      <w:r>
        <w:rPr>
          <w:b/>
          <w:i/>
          <w:sz w:val="24"/>
        </w:rPr>
        <w:t xml:space="preserve">MARCHÉ PUBLIC DE PRESTATIONS INTELLECTUELLES </w:t>
      </w:r>
    </w:p>
    <w:p w14:paraId="60E5C7F6" w14:textId="77777777" w:rsidR="00A8538E" w:rsidRDefault="00A6768D">
      <w:pPr>
        <w:spacing w:after="0" w:line="259" w:lineRule="auto"/>
        <w:ind w:left="64" w:right="0" w:firstLine="0"/>
        <w:jc w:val="center"/>
      </w:pPr>
      <w:r>
        <w:rPr>
          <w:sz w:val="24"/>
        </w:rPr>
        <w:t xml:space="preserve"> </w:t>
      </w:r>
    </w:p>
    <w:p w14:paraId="6A35104A" w14:textId="77777777" w:rsidR="00A8538E" w:rsidRDefault="00A6768D">
      <w:pPr>
        <w:spacing w:after="0" w:line="259" w:lineRule="auto"/>
        <w:ind w:left="64" w:right="0" w:firstLine="0"/>
        <w:jc w:val="center"/>
      </w:pPr>
      <w:r>
        <w:rPr>
          <w:sz w:val="24"/>
        </w:rPr>
        <w:t xml:space="preserve"> </w:t>
      </w:r>
    </w:p>
    <w:p w14:paraId="10BEE49E" w14:textId="77777777" w:rsidR="00A8538E" w:rsidRDefault="00A6768D">
      <w:pPr>
        <w:spacing w:after="0" w:line="259" w:lineRule="auto"/>
        <w:ind w:left="0" w:right="0" w:firstLine="0"/>
        <w:jc w:val="left"/>
      </w:pPr>
      <w:r>
        <w:rPr>
          <w:sz w:val="24"/>
        </w:rPr>
        <w:t xml:space="preserve"> </w:t>
      </w:r>
    </w:p>
    <w:p w14:paraId="06552CF0" w14:textId="77777777" w:rsidR="00A8538E" w:rsidRDefault="00A6768D">
      <w:pPr>
        <w:spacing w:after="16" w:line="259" w:lineRule="auto"/>
        <w:ind w:left="64" w:right="0" w:firstLine="0"/>
        <w:jc w:val="center"/>
      </w:pPr>
      <w:r>
        <w:rPr>
          <w:sz w:val="24"/>
        </w:rPr>
        <w:t xml:space="preserve"> </w:t>
      </w:r>
    </w:p>
    <w:p w14:paraId="0CA994C2" w14:textId="77777777" w:rsidR="00A8538E" w:rsidRDefault="00A6768D">
      <w:pPr>
        <w:spacing w:after="0" w:line="259" w:lineRule="auto"/>
        <w:ind w:right="5"/>
        <w:jc w:val="center"/>
      </w:pPr>
      <w:r>
        <w:rPr>
          <w:sz w:val="28"/>
        </w:rPr>
        <w:t xml:space="preserve">CAHIER DES CLAUSES PARTICULIERES COMMUN  </w:t>
      </w:r>
    </w:p>
    <w:p w14:paraId="60BC9856" w14:textId="77777777" w:rsidR="00A8538E" w:rsidRDefault="00A6768D">
      <w:pPr>
        <w:spacing w:after="0" w:line="259" w:lineRule="auto"/>
        <w:ind w:right="3"/>
        <w:jc w:val="center"/>
      </w:pPr>
      <w:r>
        <w:rPr>
          <w:sz w:val="28"/>
        </w:rPr>
        <w:t xml:space="preserve">AUX MAITRES D’OUVRAGE DES TRAVAUX CONNEXES </w:t>
      </w:r>
      <w:r w:rsidR="00D70F85">
        <w:rPr>
          <w:sz w:val="28"/>
        </w:rPr>
        <w:t>SUR LES PERIMETRES PERTURBE ET COMPLEMENTAIRE</w:t>
      </w:r>
    </w:p>
    <w:p w14:paraId="3E2D0E7B" w14:textId="77777777" w:rsidR="00A8538E" w:rsidRDefault="00A6768D">
      <w:pPr>
        <w:spacing w:after="0" w:line="259" w:lineRule="auto"/>
        <w:ind w:left="75" w:right="0" w:firstLine="0"/>
        <w:jc w:val="center"/>
      </w:pPr>
      <w:r>
        <w:rPr>
          <w:sz w:val="28"/>
        </w:rPr>
        <w:t xml:space="preserve"> </w:t>
      </w:r>
    </w:p>
    <w:p w14:paraId="61916C75" w14:textId="77777777" w:rsidR="00A8538E" w:rsidRDefault="00A6768D">
      <w:pPr>
        <w:spacing w:after="0" w:line="259" w:lineRule="auto"/>
        <w:ind w:left="75" w:right="0" w:firstLine="0"/>
        <w:jc w:val="center"/>
      </w:pPr>
      <w:r>
        <w:rPr>
          <w:sz w:val="28"/>
        </w:rPr>
        <w:t xml:space="preserve"> </w:t>
      </w:r>
    </w:p>
    <w:p w14:paraId="22FAB44D" w14:textId="77777777" w:rsidR="00A8538E" w:rsidRDefault="00A8538E">
      <w:pPr>
        <w:spacing w:after="0" w:line="259" w:lineRule="auto"/>
        <w:ind w:left="64" w:right="0" w:firstLine="0"/>
        <w:jc w:val="center"/>
      </w:pPr>
    </w:p>
    <w:p w14:paraId="06E3A1C0" w14:textId="77777777" w:rsidR="00A8538E" w:rsidRDefault="00A6768D">
      <w:pPr>
        <w:spacing w:after="0" w:line="259" w:lineRule="auto"/>
        <w:ind w:left="64" w:right="0" w:firstLine="0"/>
        <w:jc w:val="center"/>
      </w:pPr>
      <w:r>
        <w:rPr>
          <w:sz w:val="24"/>
        </w:rPr>
        <w:t xml:space="preserve"> </w:t>
      </w:r>
    </w:p>
    <w:p w14:paraId="65C109EE" w14:textId="77777777" w:rsidR="00A8538E" w:rsidRDefault="00A6768D">
      <w:pPr>
        <w:spacing w:after="248" w:line="259" w:lineRule="auto"/>
        <w:ind w:left="64" w:right="0" w:firstLine="0"/>
        <w:jc w:val="center"/>
      </w:pPr>
      <w:r>
        <w:rPr>
          <w:sz w:val="24"/>
        </w:rPr>
        <w:t xml:space="preserve"> </w:t>
      </w:r>
    </w:p>
    <w:p w14:paraId="39A6DEBB" w14:textId="71F50872" w:rsidR="00A8538E" w:rsidRPr="00D70F85" w:rsidRDefault="00A6768D" w:rsidP="00D70F85">
      <w:pPr>
        <w:pBdr>
          <w:top w:val="single" w:sz="4" w:space="0" w:color="000000"/>
          <w:left w:val="single" w:sz="4" w:space="0" w:color="000000"/>
          <w:bottom w:val="single" w:sz="4" w:space="0" w:color="000000"/>
          <w:right w:val="single" w:sz="4" w:space="0" w:color="000000"/>
        </w:pBdr>
        <w:shd w:val="clear" w:color="auto" w:fill="C0C0C0"/>
        <w:spacing w:after="0" w:line="259" w:lineRule="auto"/>
        <w:ind w:left="124" w:right="0" w:firstLine="0"/>
        <w:jc w:val="center"/>
        <w:rPr>
          <w:b/>
        </w:rPr>
      </w:pPr>
      <w:r w:rsidRPr="00D70F85">
        <w:rPr>
          <w:b/>
          <w:sz w:val="28"/>
        </w:rPr>
        <w:t>GROUPEMENT</w:t>
      </w:r>
      <w:r w:rsidRPr="00D70F85">
        <w:rPr>
          <w:b/>
        </w:rPr>
        <w:t xml:space="preserve"> </w:t>
      </w:r>
      <w:r w:rsidRPr="00D70F85">
        <w:rPr>
          <w:b/>
          <w:sz w:val="28"/>
        </w:rPr>
        <w:t>DE</w:t>
      </w:r>
      <w:r w:rsidRPr="00D70F85">
        <w:rPr>
          <w:b/>
        </w:rPr>
        <w:t xml:space="preserve"> </w:t>
      </w:r>
      <w:r w:rsidRPr="00D70F85">
        <w:rPr>
          <w:b/>
          <w:sz w:val="28"/>
        </w:rPr>
        <w:t>COMMANDES</w:t>
      </w:r>
      <w:r w:rsidRPr="00D70F85">
        <w:rPr>
          <w:b/>
        </w:rPr>
        <w:t xml:space="preserve"> </w:t>
      </w:r>
      <w:r w:rsidRPr="00D70F85">
        <w:rPr>
          <w:b/>
          <w:sz w:val="28"/>
        </w:rPr>
        <w:t>DES</w:t>
      </w:r>
      <w:r w:rsidRPr="00D70F85">
        <w:rPr>
          <w:b/>
        </w:rPr>
        <w:t xml:space="preserve"> </w:t>
      </w:r>
      <w:r w:rsidRPr="00D70F85">
        <w:rPr>
          <w:b/>
          <w:sz w:val="28"/>
        </w:rPr>
        <w:t>COMMUNES</w:t>
      </w:r>
      <w:r w:rsidRPr="00D70F85">
        <w:rPr>
          <w:b/>
        </w:rPr>
        <w:t xml:space="preserve"> </w:t>
      </w:r>
      <w:r w:rsidRPr="00D70F85">
        <w:rPr>
          <w:b/>
          <w:sz w:val="28"/>
        </w:rPr>
        <w:t>DE</w:t>
      </w:r>
      <w:r w:rsidRPr="00D70F85">
        <w:rPr>
          <w:b/>
        </w:rPr>
        <w:t xml:space="preserve"> </w:t>
      </w:r>
      <w:r w:rsidR="00326AE9" w:rsidRPr="00D70F85">
        <w:rPr>
          <w:b/>
          <w:sz w:val="28"/>
        </w:rPr>
        <w:t>CADEROUSSE, MORNAS, ORANGE ET PIOLENC</w:t>
      </w:r>
      <w:r w:rsidRPr="00D70F85">
        <w:rPr>
          <w:b/>
          <w:sz w:val="28"/>
        </w:rPr>
        <w:t xml:space="preserve"> </w:t>
      </w:r>
      <w:r w:rsidR="00D70F85" w:rsidRPr="00D70F85">
        <w:rPr>
          <w:b/>
          <w:sz w:val="28"/>
        </w:rPr>
        <w:t>ET L’AFAFAF</w:t>
      </w:r>
    </w:p>
    <w:p w14:paraId="51BB7BA8" w14:textId="77777777" w:rsidR="00A8538E" w:rsidRDefault="00A6768D">
      <w:pPr>
        <w:pBdr>
          <w:top w:val="single" w:sz="4" w:space="0" w:color="000000"/>
          <w:left w:val="single" w:sz="4" w:space="0" w:color="000000"/>
          <w:bottom w:val="single" w:sz="4" w:space="0" w:color="000000"/>
          <w:right w:val="single" w:sz="4" w:space="0" w:color="000000"/>
        </w:pBdr>
        <w:shd w:val="clear" w:color="auto" w:fill="C0C0C0"/>
        <w:spacing w:after="288" w:line="259" w:lineRule="auto"/>
        <w:ind w:left="124" w:right="0" w:firstLine="0"/>
        <w:jc w:val="center"/>
      </w:pPr>
      <w:r>
        <w:rPr>
          <w:sz w:val="12"/>
        </w:rPr>
        <w:t xml:space="preserve"> </w:t>
      </w:r>
    </w:p>
    <w:p w14:paraId="2083C010" w14:textId="77777777" w:rsidR="00A8538E" w:rsidRDefault="00A6768D">
      <w:pPr>
        <w:spacing w:after="0" w:line="259" w:lineRule="auto"/>
        <w:ind w:left="64" w:right="0" w:firstLine="0"/>
        <w:jc w:val="center"/>
      </w:pPr>
      <w:r>
        <w:rPr>
          <w:sz w:val="24"/>
        </w:rPr>
        <w:t xml:space="preserve"> </w:t>
      </w:r>
    </w:p>
    <w:p w14:paraId="796BEC18" w14:textId="77777777" w:rsidR="00A8538E" w:rsidRDefault="00A6768D">
      <w:pPr>
        <w:spacing w:after="0" w:line="259" w:lineRule="auto"/>
        <w:ind w:left="64" w:right="0" w:firstLine="0"/>
        <w:jc w:val="center"/>
      </w:pPr>
      <w:r>
        <w:rPr>
          <w:sz w:val="24"/>
        </w:rPr>
        <w:t xml:space="preserve"> </w:t>
      </w:r>
    </w:p>
    <w:p w14:paraId="3C4D3D18" w14:textId="77777777" w:rsidR="00A8538E" w:rsidRDefault="00A6768D">
      <w:pPr>
        <w:spacing w:after="0" w:line="259" w:lineRule="auto"/>
        <w:ind w:left="64" w:right="0" w:firstLine="0"/>
        <w:jc w:val="center"/>
      </w:pPr>
      <w:r>
        <w:rPr>
          <w:sz w:val="24"/>
        </w:rPr>
        <w:t xml:space="preserve"> </w:t>
      </w:r>
    </w:p>
    <w:tbl>
      <w:tblPr>
        <w:tblStyle w:val="TableGrid"/>
        <w:tblW w:w="10313" w:type="dxa"/>
        <w:tblInd w:w="-121" w:type="dxa"/>
        <w:tblCellMar>
          <w:top w:w="78" w:type="dxa"/>
          <w:left w:w="115" w:type="dxa"/>
          <w:bottom w:w="16" w:type="dxa"/>
          <w:right w:w="88" w:type="dxa"/>
        </w:tblCellMar>
        <w:tblLook w:val="04A0" w:firstRow="1" w:lastRow="0" w:firstColumn="1" w:lastColumn="0" w:noHBand="0" w:noVBand="1"/>
      </w:tblPr>
      <w:tblGrid>
        <w:gridCol w:w="10313"/>
      </w:tblGrid>
      <w:tr w:rsidR="00A8538E" w14:paraId="42DDCCD0" w14:textId="77777777" w:rsidTr="0082081C">
        <w:trPr>
          <w:trHeight w:val="509"/>
        </w:trPr>
        <w:tc>
          <w:tcPr>
            <w:tcW w:w="10313" w:type="dxa"/>
            <w:tcBorders>
              <w:bottom w:val="nil"/>
            </w:tcBorders>
            <w:shd w:val="clear" w:color="auto" w:fill="C0C0C0"/>
            <w:vAlign w:val="bottom"/>
          </w:tcPr>
          <w:p w14:paraId="7A2D9C9B" w14:textId="2F800B1C" w:rsidR="00A8538E" w:rsidRDefault="0082081C">
            <w:pPr>
              <w:spacing w:after="0" w:line="259" w:lineRule="auto"/>
              <w:ind w:left="0" w:right="31" w:firstLine="0"/>
              <w:jc w:val="center"/>
            </w:pPr>
            <w:r>
              <w:rPr>
                <w:b/>
                <w:sz w:val="26"/>
              </w:rPr>
              <w:t>O</w:t>
            </w:r>
            <w:r w:rsidR="00A6768D">
              <w:rPr>
                <w:b/>
                <w:sz w:val="26"/>
              </w:rPr>
              <w:t>BJET DU MARCHÉ</w:t>
            </w:r>
            <w:r w:rsidR="00A6768D">
              <w:rPr>
                <w:b/>
                <w:sz w:val="32"/>
              </w:rPr>
              <w:t xml:space="preserve"> </w:t>
            </w:r>
          </w:p>
        </w:tc>
      </w:tr>
      <w:tr w:rsidR="0082081C" w14:paraId="43DD0563" w14:textId="77777777" w:rsidTr="0082081C">
        <w:trPr>
          <w:trHeight w:val="509"/>
        </w:trPr>
        <w:tc>
          <w:tcPr>
            <w:tcW w:w="10313" w:type="dxa"/>
            <w:tcBorders>
              <w:top w:val="double" w:sz="4" w:space="0" w:color="000000"/>
              <w:left w:val="double" w:sz="4" w:space="0" w:color="000000"/>
              <w:bottom w:val="nil"/>
              <w:right w:val="double" w:sz="4" w:space="0" w:color="000000"/>
            </w:tcBorders>
            <w:shd w:val="clear" w:color="auto" w:fill="C0C0C0"/>
            <w:vAlign w:val="bottom"/>
          </w:tcPr>
          <w:p w14:paraId="4AE6B83B" w14:textId="77777777" w:rsidR="0082081C" w:rsidRDefault="0082081C" w:rsidP="0082081C">
            <w:pPr>
              <w:spacing w:after="0" w:line="259" w:lineRule="auto"/>
              <w:ind w:left="0" w:right="30" w:firstLine="0"/>
              <w:jc w:val="center"/>
            </w:pPr>
            <w:r>
              <w:rPr>
                <w:b/>
                <w:sz w:val="26"/>
              </w:rPr>
              <w:t>MARCHÉ DE MAITRISE D</w:t>
            </w:r>
            <w:r>
              <w:rPr>
                <w:b/>
                <w:sz w:val="32"/>
              </w:rPr>
              <w:t>’</w:t>
            </w:r>
            <w:r>
              <w:rPr>
                <w:b/>
                <w:sz w:val="26"/>
              </w:rPr>
              <w:t xml:space="preserve">ŒUVRE POUR LES TRAVAUX CONNEXES À </w:t>
            </w:r>
          </w:p>
          <w:p w14:paraId="61EFB419" w14:textId="10368EAC" w:rsidR="0082081C" w:rsidRDefault="0082081C" w:rsidP="0082081C">
            <w:pPr>
              <w:spacing w:after="0" w:line="259" w:lineRule="auto"/>
              <w:ind w:left="0" w:right="31" w:firstLine="0"/>
              <w:jc w:val="center"/>
              <w:rPr>
                <w:b/>
                <w:sz w:val="26"/>
              </w:rPr>
            </w:pPr>
            <w:r>
              <w:rPr>
                <w:b/>
                <w:sz w:val="26"/>
              </w:rPr>
              <w:t>L</w:t>
            </w:r>
            <w:r>
              <w:rPr>
                <w:b/>
                <w:sz w:val="32"/>
              </w:rPr>
              <w:t>’</w:t>
            </w:r>
            <w:r>
              <w:rPr>
                <w:b/>
                <w:sz w:val="26"/>
              </w:rPr>
              <w:t xml:space="preserve">AMÉNAGEMENT FONCIER AGRICOLE ET FORESTIER LIÉ À LA LGV MEDITERRANEE SUR LES COMMUNES DE </w:t>
            </w:r>
            <w:r w:rsidRPr="00326AE9">
              <w:rPr>
                <w:b/>
                <w:sz w:val="32"/>
                <w:szCs w:val="32"/>
              </w:rPr>
              <w:t>Caderousse, Mornas, Orange et Piolenc</w:t>
            </w:r>
            <w:r>
              <w:rPr>
                <w:b/>
                <w:sz w:val="32"/>
                <w:szCs w:val="32"/>
              </w:rPr>
              <w:t xml:space="preserve"> et l’AFAFAF</w:t>
            </w:r>
          </w:p>
        </w:tc>
      </w:tr>
    </w:tbl>
    <w:p w14:paraId="4B72B054" w14:textId="46DB4BCE" w:rsidR="00A8538E" w:rsidRDefault="00A6768D" w:rsidP="001B5641">
      <w:pPr>
        <w:spacing w:after="0" w:line="259" w:lineRule="auto"/>
        <w:ind w:left="0" w:right="0" w:firstLine="0"/>
        <w:jc w:val="left"/>
      </w:pPr>
      <w:r>
        <w:lastRenderedPageBreak/>
        <w:t xml:space="preserve">SOMMAIRE </w:t>
      </w:r>
    </w:p>
    <w:p w14:paraId="09E351AC" w14:textId="77777777" w:rsidR="00A8538E" w:rsidRDefault="00A6768D">
      <w:pPr>
        <w:spacing w:after="60" w:line="259" w:lineRule="auto"/>
        <w:ind w:left="0" w:right="0" w:firstLine="0"/>
        <w:jc w:val="left"/>
      </w:pPr>
      <w:r>
        <w:rPr>
          <w:sz w:val="16"/>
        </w:rPr>
        <w:t xml:space="preserve"> </w:t>
      </w:r>
    </w:p>
    <w:sdt>
      <w:sdtPr>
        <w:rPr>
          <w:sz w:val="22"/>
        </w:rPr>
        <w:id w:val="706527034"/>
        <w:docPartObj>
          <w:docPartGallery w:val="Table of Contents"/>
        </w:docPartObj>
      </w:sdtPr>
      <w:sdtEndPr/>
      <w:sdtContent>
        <w:p w14:paraId="6A501F67" w14:textId="7D341E96" w:rsidR="00683B56" w:rsidRDefault="00A6768D">
          <w:pPr>
            <w:pStyle w:val="TM1"/>
            <w:tabs>
              <w:tab w:val="right" w:leader="dot" w:pos="10332"/>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513628488" w:history="1">
            <w:r w:rsidR="00683B56" w:rsidRPr="003C3D18">
              <w:rPr>
                <w:rStyle w:val="Lienhypertexte"/>
                <w:noProof/>
              </w:rPr>
              <w:t>Article 1 : Objet du marché</w:t>
            </w:r>
            <w:r w:rsidR="00683B56">
              <w:rPr>
                <w:noProof/>
                <w:webHidden/>
              </w:rPr>
              <w:tab/>
            </w:r>
            <w:r w:rsidR="00683B56">
              <w:rPr>
                <w:noProof/>
                <w:webHidden/>
              </w:rPr>
              <w:fldChar w:fldCharType="begin"/>
            </w:r>
            <w:r w:rsidR="00683B56">
              <w:rPr>
                <w:noProof/>
                <w:webHidden/>
              </w:rPr>
              <w:instrText xml:space="preserve"> PAGEREF _Toc513628488 \h </w:instrText>
            </w:r>
            <w:r w:rsidR="00683B56">
              <w:rPr>
                <w:noProof/>
                <w:webHidden/>
              </w:rPr>
            </w:r>
            <w:r w:rsidR="00683B56">
              <w:rPr>
                <w:noProof/>
                <w:webHidden/>
              </w:rPr>
              <w:fldChar w:fldCharType="separate"/>
            </w:r>
            <w:r w:rsidR="00F80A97">
              <w:rPr>
                <w:noProof/>
                <w:webHidden/>
              </w:rPr>
              <w:t>4</w:t>
            </w:r>
            <w:r w:rsidR="00683B56">
              <w:rPr>
                <w:noProof/>
                <w:webHidden/>
              </w:rPr>
              <w:fldChar w:fldCharType="end"/>
            </w:r>
          </w:hyperlink>
        </w:p>
        <w:p w14:paraId="1ED1934D" w14:textId="647AA6F2"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89" w:history="1">
            <w:r w:rsidR="00683B56" w:rsidRPr="003C3D18">
              <w:rPr>
                <w:rStyle w:val="Lienhypertexte"/>
                <w:noProof/>
              </w:rPr>
              <w:t>Article 1-1 Objet du marché et dispositions générales</w:t>
            </w:r>
            <w:r w:rsidR="00683B56">
              <w:rPr>
                <w:noProof/>
                <w:webHidden/>
              </w:rPr>
              <w:tab/>
            </w:r>
            <w:r w:rsidR="00683B56">
              <w:rPr>
                <w:noProof/>
                <w:webHidden/>
              </w:rPr>
              <w:fldChar w:fldCharType="begin"/>
            </w:r>
            <w:r w:rsidR="00683B56">
              <w:rPr>
                <w:noProof/>
                <w:webHidden/>
              </w:rPr>
              <w:instrText xml:space="preserve"> PAGEREF _Toc513628489 \h </w:instrText>
            </w:r>
            <w:r w:rsidR="00683B56">
              <w:rPr>
                <w:noProof/>
                <w:webHidden/>
              </w:rPr>
            </w:r>
            <w:r w:rsidR="00683B56">
              <w:rPr>
                <w:noProof/>
                <w:webHidden/>
              </w:rPr>
              <w:fldChar w:fldCharType="separate"/>
            </w:r>
            <w:r w:rsidR="00F80A97">
              <w:rPr>
                <w:noProof/>
                <w:webHidden/>
              </w:rPr>
              <w:t>4</w:t>
            </w:r>
            <w:r w:rsidR="00683B56">
              <w:rPr>
                <w:noProof/>
                <w:webHidden/>
              </w:rPr>
              <w:fldChar w:fldCharType="end"/>
            </w:r>
          </w:hyperlink>
        </w:p>
        <w:p w14:paraId="690CC57D" w14:textId="12A7EB96"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90" w:history="1">
            <w:r w:rsidR="00683B56" w:rsidRPr="003C3D18">
              <w:rPr>
                <w:rStyle w:val="Lienhypertexte"/>
                <w:noProof/>
              </w:rPr>
              <w:t>Article 1-2 Allotissement et variantes</w:t>
            </w:r>
            <w:r w:rsidR="00683B56">
              <w:rPr>
                <w:noProof/>
                <w:webHidden/>
              </w:rPr>
              <w:tab/>
            </w:r>
            <w:r w:rsidR="00683B56">
              <w:rPr>
                <w:noProof/>
                <w:webHidden/>
              </w:rPr>
              <w:fldChar w:fldCharType="begin"/>
            </w:r>
            <w:r w:rsidR="00683B56">
              <w:rPr>
                <w:noProof/>
                <w:webHidden/>
              </w:rPr>
              <w:instrText xml:space="preserve"> PAGEREF _Toc513628490 \h </w:instrText>
            </w:r>
            <w:r w:rsidR="00683B56">
              <w:rPr>
                <w:noProof/>
                <w:webHidden/>
              </w:rPr>
            </w:r>
            <w:r w:rsidR="00683B56">
              <w:rPr>
                <w:noProof/>
                <w:webHidden/>
              </w:rPr>
              <w:fldChar w:fldCharType="separate"/>
            </w:r>
            <w:r w:rsidR="00F80A97">
              <w:rPr>
                <w:noProof/>
                <w:webHidden/>
              </w:rPr>
              <w:t>5</w:t>
            </w:r>
            <w:r w:rsidR="00683B56">
              <w:rPr>
                <w:noProof/>
                <w:webHidden/>
              </w:rPr>
              <w:fldChar w:fldCharType="end"/>
            </w:r>
          </w:hyperlink>
        </w:p>
        <w:p w14:paraId="2A01486B" w14:textId="2705C957"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91" w:history="1">
            <w:r w:rsidR="00683B56" w:rsidRPr="003C3D18">
              <w:rPr>
                <w:rStyle w:val="Lienhypertexte"/>
                <w:noProof/>
              </w:rPr>
              <w:t>Article 1-3 Contenu des éléments de mission</w:t>
            </w:r>
            <w:r w:rsidR="00683B56">
              <w:rPr>
                <w:noProof/>
                <w:webHidden/>
              </w:rPr>
              <w:tab/>
            </w:r>
            <w:r w:rsidR="00683B56">
              <w:rPr>
                <w:noProof/>
                <w:webHidden/>
              </w:rPr>
              <w:fldChar w:fldCharType="begin"/>
            </w:r>
            <w:r w:rsidR="00683B56">
              <w:rPr>
                <w:noProof/>
                <w:webHidden/>
              </w:rPr>
              <w:instrText xml:space="preserve"> PAGEREF _Toc513628491 \h </w:instrText>
            </w:r>
            <w:r w:rsidR="00683B56">
              <w:rPr>
                <w:noProof/>
                <w:webHidden/>
              </w:rPr>
            </w:r>
            <w:r w:rsidR="00683B56">
              <w:rPr>
                <w:noProof/>
                <w:webHidden/>
              </w:rPr>
              <w:fldChar w:fldCharType="separate"/>
            </w:r>
            <w:r w:rsidR="00F80A97">
              <w:rPr>
                <w:noProof/>
                <w:webHidden/>
              </w:rPr>
              <w:t>5</w:t>
            </w:r>
            <w:r w:rsidR="00683B56">
              <w:rPr>
                <w:noProof/>
                <w:webHidden/>
              </w:rPr>
              <w:fldChar w:fldCharType="end"/>
            </w:r>
          </w:hyperlink>
        </w:p>
        <w:p w14:paraId="0E43FBF4" w14:textId="27D7353D"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92" w:history="1">
            <w:r w:rsidR="00683B56" w:rsidRPr="003C3D18">
              <w:rPr>
                <w:rStyle w:val="Lienhypertexte"/>
                <w:noProof/>
              </w:rPr>
              <w:t>Article 1-4 Conduite d’opération</w:t>
            </w:r>
            <w:r w:rsidR="00683B56">
              <w:rPr>
                <w:noProof/>
                <w:webHidden/>
              </w:rPr>
              <w:tab/>
            </w:r>
            <w:r w:rsidR="00683B56">
              <w:rPr>
                <w:noProof/>
                <w:webHidden/>
              </w:rPr>
              <w:fldChar w:fldCharType="begin"/>
            </w:r>
            <w:r w:rsidR="00683B56">
              <w:rPr>
                <w:noProof/>
                <w:webHidden/>
              </w:rPr>
              <w:instrText xml:space="preserve"> PAGEREF _Toc513628492 \h </w:instrText>
            </w:r>
            <w:r w:rsidR="00683B56">
              <w:rPr>
                <w:noProof/>
                <w:webHidden/>
              </w:rPr>
            </w:r>
            <w:r w:rsidR="00683B56">
              <w:rPr>
                <w:noProof/>
                <w:webHidden/>
              </w:rPr>
              <w:fldChar w:fldCharType="separate"/>
            </w:r>
            <w:r w:rsidR="00F80A97">
              <w:rPr>
                <w:noProof/>
                <w:webHidden/>
              </w:rPr>
              <w:t>6</w:t>
            </w:r>
            <w:r w:rsidR="00683B56">
              <w:rPr>
                <w:noProof/>
                <w:webHidden/>
              </w:rPr>
              <w:fldChar w:fldCharType="end"/>
            </w:r>
          </w:hyperlink>
        </w:p>
        <w:p w14:paraId="61257344" w14:textId="68FD6A02"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93" w:history="1">
            <w:r w:rsidR="00683B56" w:rsidRPr="003C3D18">
              <w:rPr>
                <w:rStyle w:val="Lienhypertexte"/>
                <w:noProof/>
              </w:rPr>
              <w:t>Article 1-5 Contrôle technique</w:t>
            </w:r>
            <w:r w:rsidR="00683B56">
              <w:rPr>
                <w:noProof/>
                <w:webHidden/>
              </w:rPr>
              <w:tab/>
            </w:r>
            <w:r w:rsidR="00683B56">
              <w:rPr>
                <w:noProof/>
                <w:webHidden/>
              </w:rPr>
              <w:fldChar w:fldCharType="begin"/>
            </w:r>
            <w:r w:rsidR="00683B56">
              <w:rPr>
                <w:noProof/>
                <w:webHidden/>
              </w:rPr>
              <w:instrText xml:space="preserve"> PAGEREF _Toc513628493 \h </w:instrText>
            </w:r>
            <w:r w:rsidR="00683B56">
              <w:rPr>
                <w:noProof/>
                <w:webHidden/>
              </w:rPr>
            </w:r>
            <w:r w:rsidR="00683B56">
              <w:rPr>
                <w:noProof/>
                <w:webHidden/>
              </w:rPr>
              <w:fldChar w:fldCharType="separate"/>
            </w:r>
            <w:r w:rsidR="00F80A97">
              <w:rPr>
                <w:noProof/>
                <w:webHidden/>
              </w:rPr>
              <w:t>7</w:t>
            </w:r>
            <w:r w:rsidR="00683B56">
              <w:rPr>
                <w:noProof/>
                <w:webHidden/>
              </w:rPr>
              <w:fldChar w:fldCharType="end"/>
            </w:r>
          </w:hyperlink>
        </w:p>
        <w:p w14:paraId="74C3D74F" w14:textId="02E0C526"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94" w:history="1">
            <w:r w:rsidR="00683B56" w:rsidRPr="003C3D18">
              <w:rPr>
                <w:rStyle w:val="Lienhypertexte"/>
                <w:noProof/>
              </w:rPr>
              <w:t>Article 1-6 Ordonnancement, pilotage, coordination</w:t>
            </w:r>
            <w:r w:rsidR="00683B56">
              <w:rPr>
                <w:noProof/>
                <w:webHidden/>
              </w:rPr>
              <w:tab/>
            </w:r>
            <w:r w:rsidR="00683B56">
              <w:rPr>
                <w:noProof/>
                <w:webHidden/>
              </w:rPr>
              <w:fldChar w:fldCharType="begin"/>
            </w:r>
            <w:r w:rsidR="00683B56">
              <w:rPr>
                <w:noProof/>
                <w:webHidden/>
              </w:rPr>
              <w:instrText xml:space="preserve"> PAGEREF _Toc513628494 \h </w:instrText>
            </w:r>
            <w:r w:rsidR="00683B56">
              <w:rPr>
                <w:noProof/>
                <w:webHidden/>
              </w:rPr>
            </w:r>
            <w:r w:rsidR="00683B56">
              <w:rPr>
                <w:noProof/>
                <w:webHidden/>
              </w:rPr>
              <w:fldChar w:fldCharType="separate"/>
            </w:r>
            <w:r w:rsidR="00F80A97">
              <w:rPr>
                <w:noProof/>
                <w:webHidden/>
              </w:rPr>
              <w:t>7</w:t>
            </w:r>
            <w:r w:rsidR="00683B56">
              <w:rPr>
                <w:noProof/>
                <w:webHidden/>
              </w:rPr>
              <w:fldChar w:fldCharType="end"/>
            </w:r>
          </w:hyperlink>
        </w:p>
        <w:p w14:paraId="1827E936" w14:textId="596B2871"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95" w:history="1">
            <w:r w:rsidR="00683B56" w:rsidRPr="003C3D18">
              <w:rPr>
                <w:rStyle w:val="Lienhypertexte"/>
                <w:noProof/>
              </w:rPr>
              <w:t>Article 1-7 Coordination en matière de sécurité et de protection de la santé des travailleurs</w:t>
            </w:r>
            <w:r w:rsidR="00683B56">
              <w:rPr>
                <w:noProof/>
                <w:webHidden/>
              </w:rPr>
              <w:tab/>
            </w:r>
            <w:r w:rsidR="00683B56">
              <w:rPr>
                <w:noProof/>
                <w:webHidden/>
              </w:rPr>
              <w:fldChar w:fldCharType="begin"/>
            </w:r>
            <w:r w:rsidR="00683B56">
              <w:rPr>
                <w:noProof/>
                <w:webHidden/>
              </w:rPr>
              <w:instrText xml:space="preserve"> PAGEREF _Toc513628495 \h </w:instrText>
            </w:r>
            <w:r w:rsidR="00683B56">
              <w:rPr>
                <w:noProof/>
                <w:webHidden/>
              </w:rPr>
            </w:r>
            <w:r w:rsidR="00683B56">
              <w:rPr>
                <w:noProof/>
                <w:webHidden/>
              </w:rPr>
              <w:fldChar w:fldCharType="separate"/>
            </w:r>
            <w:r w:rsidR="00F80A97">
              <w:rPr>
                <w:noProof/>
                <w:webHidden/>
              </w:rPr>
              <w:t>7</w:t>
            </w:r>
            <w:r w:rsidR="00683B56">
              <w:rPr>
                <w:noProof/>
                <w:webHidden/>
              </w:rPr>
              <w:fldChar w:fldCharType="end"/>
            </w:r>
          </w:hyperlink>
        </w:p>
        <w:p w14:paraId="4E2A8BAA" w14:textId="0E880062" w:rsidR="00683B56" w:rsidRDefault="00B36A93">
          <w:pPr>
            <w:pStyle w:val="TM1"/>
            <w:tabs>
              <w:tab w:val="right" w:leader="dot" w:pos="10332"/>
            </w:tabs>
            <w:rPr>
              <w:rFonts w:asciiTheme="minorHAnsi" w:eastAsiaTheme="minorEastAsia" w:hAnsiTheme="minorHAnsi" w:cstheme="minorBidi"/>
              <w:noProof/>
              <w:color w:val="auto"/>
              <w:sz w:val="22"/>
            </w:rPr>
          </w:pPr>
          <w:hyperlink w:anchor="_Toc513628496" w:history="1">
            <w:r w:rsidR="00683B56" w:rsidRPr="003C3D18">
              <w:rPr>
                <w:rStyle w:val="Lienhypertexte"/>
                <w:noProof/>
              </w:rPr>
              <w:t>Article 2 : Caractéristiques du marché</w:t>
            </w:r>
            <w:r w:rsidR="00683B56">
              <w:rPr>
                <w:noProof/>
                <w:webHidden/>
              </w:rPr>
              <w:tab/>
            </w:r>
            <w:r w:rsidR="00683B56">
              <w:rPr>
                <w:noProof/>
                <w:webHidden/>
              </w:rPr>
              <w:fldChar w:fldCharType="begin"/>
            </w:r>
            <w:r w:rsidR="00683B56">
              <w:rPr>
                <w:noProof/>
                <w:webHidden/>
              </w:rPr>
              <w:instrText xml:space="preserve"> PAGEREF _Toc513628496 \h </w:instrText>
            </w:r>
            <w:r w:rsidR="00683B56">
              <w:rPr>
                <w:noProof/>
                <w:webHidden/>
              </w:rPr>
            </w:r>
            <w:r w:rsidR="00683B56">
              <w:rPr>
                <w:noProof/>
                <w:webHidden/>
              </w:rPr>
              <w:fldChar w:fldCharType="separate"/>
            </w:r>
            <w:r w:rsidR="00F80A97">
              <w:rPr>
                <w:noProof/>
                <w:webHidden/>
              </w:rPr>
              <w:t>7</w:t>
            </w:r>
            <w:r w:rsidR="00683B56">
              <w:rPr>
                <w:noProof/>
                <w:webHidden/>
              </w:rPr>
              <w:fldChar w:fldCharType="end"/>
            </w:r>
          </w:hyperlink>
        </w:p>
        <w:p w14:paraId="513CEACC" w14:textId="555A497D"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97" w:history="1">
            <w:r w:rsidR="00683B56" w:rsidRPr="003C3D18">
              <w:rPr>
                <w:rStyle w:val="Lienhypertexte"/>
                <w:noProof/>
              </w:rPr>
              <w:t>Article 2-1 Pièces constitutives du marché</w:t>
            </w:r>
            <w:r w:rsidR="00683B56">
              <w:rPr>
                <w:noProof/>
                <w:webHidden/>
              </w:rPr>
              <w:tab/>
            </w:r>
            <w:r w:rsidR="00683B56">
              <w:rPr>
                <w:noProof/>
                <w:webHidden/>
              </w:rPr>
              <w:fldChar w:fldCharType="begin"/>
            </w:r>
            <w:r w:rsidR="00683B56">
              <w:rPr>
                <w:noProof/>
                <w:webHidden/>
              </w:rPr>
              <w:instrText xml:space="preserve"> PAGEREF _Toc513628497 \h </w:instrText>
            </w:r>
            <w:r w:rsidR="00683B56">
              <w:rPr>
                <w:noProof/>
                <w:webHidden/>
              </w:rPr>
            </w:r>
            <w:r w:rsidR="00683B56">
              <w:rPr>
                <w:noProof/>
                <w:webHidden/>
              </w:rPr>
              <w:fldChar w:fldCharType="separate"/>
            </w:r>
            <w:r w:rsidR="00F80A97">
              <w:rPr>
                <w:noProof/>
                <w:webHidden/>
              </w:rPr>
              <w:t>7</w:t>
            </w:r>
            <w:r w:rsidR="00683B56">
              <w:rPr>
                <w:noProof/>
                <w:webHidden/>
              </w:rPr>
              <w:fldChar w:fldCharType="end"/>
            </w:r>
          </w:hyperlink>
        </w:p>
        <w:p w14:paraId="29087F7C" w14:textId="4A0E088F"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498" w:history="1">
            <w:r w:rsidR="00683B56" w:rsidRPr="003C3D18">
              <w:rPr>
                <w:rStyle w:val="Lienhypertexte"/>
                <w:noProof/>
              </w:rPr>
              <w:t>Article 2-2 Pièces Générales</w:t>
            </w:r>
            <w:r w:rsidR="00683B56">
              <w:rPr>
                <w:noProof/>
                <w:webHidden/>
              </w:rPr>
              <w:tab/>
            </w:r>
            <w:r w:rsidR="00683B56">
              <w:rPr>
                <w:noProof/>
                <w:webHidden/>
              </w:rPr>
              <w:fldChar w:fldCharType="begin"/>
            </w:r>
            <w:r w:rsidR="00683B56">
              <w:rPr>
                <w:noProof/>
                <w:webHidden/>
              </w:rPr>
              <w:instrText xml:space="preserve"> PAGEREF _Toc513628498 \h </w:instrText>
            </w:r>
            <w:r w:rsidR="00683B56">
              <w:rPr>
                <w:noProof/>
                <w:webHidden/>
              </w:rPr>
            </w:r>
            <w:r w:rsidR="00683B56">
              <w:rPr>
                <w:noProof/>
                <w:webHidden/>
              </w:rPr>
              <w:fldChar w:fldCharType="separate"/>
            </w:r>
            <w:r w:rsidR="00F80A97">
              <w:rPr>
                <w:noProof/>
                <w:webHidden/>
              </w:rPr>
              <w:t>8</w:t>
            </w:r>
            <w:r w:rsidR="00683B56">
              <w:rPr>
                <w:noProof/>
                <w:webHidden/>
              </w:rPr>
              <w:fldChar w:fldCharType="end"/>
            </w:r>
          </w:hyperlink>
        </w:p>
        <w:p w14:paraId="460F76B0" w14:textId="048E3BA6" w:rsidR="00683B56" w:rsidRDefault="00B36A93">
          <w:pPr>
            <w:pStyle w:val="TM1"/>
            <w:tabs>
              <w:tab w:val="right" w:leader="dot" w:pos="10332"/>
            </w:tabs>
            <w:rPr>
              <w:rFonts w:asciiTheme="minorHAnsi" w:eastAsiaTheme="minorEastAsia" w:hAnsiTheme="minorHAnsi" w:cstheme="minorBidi"/>
              <w:noProof/>
              <w:color w:val="auto"/>
              <w:sz w:val="22"/>
            </w:rPr>
          </w:pPr>
          <w:hyperlink w:anchor="_Toc513628499" w:history="1">
            <w:r w:rsidR="00683B56" w:rsidRPr="003C3D18">
              <w:rPr>
                <w:rStyle w:val="Lienhypertexte"/>
                <w:noProof/>
              </w:rPr>
              <w:t>Article 3 : Prix et paiement des prestations</w:t>
            </w:r>
            <w:r w:rsidR="00683B56">
              <w:rPr>
                <w:noProof/>
                <w:webHidden/>
              </w:rPr>
              <w:tab/>
            </w:r>
            <w:r w:rsidR="00683B56">
              <w:rPr>
                <w:noProof/>
                <w:webHidden/>
              </w:rPr>
              <w:fldChar w:fldCharType="begin"/>
            </w:r>
            <w:r w:rsidR="00683B56">
              <w:rPr>
                <w:noProof/>
                <w:webHidden/>
              </w:rPr>
              <w:instrText xml:space="preserve"> PAGEREF _Toc513628499 \h </w:instrText>
            </w:r>
            <w:r w:rsidR="00683B56">
              <w:rPr>
                <w:noProof/>
                <w:webHidden/>
              </w:rPr>
            </w:r>
            <w:r w:rsidR="00683B56">
              <w:rPr>
                <w:noProof/>
                <w:webHidden/>
              </w:rPr>
              <w:fldChar w:fldCharType="separate"/>
            </w:r>
            <w:r w:rsidR="00F80A97">
              <w:rPr>
                <w:noProof/>
                <w:webHidden/>
              </w:rPr>
              <w:t>8</w:t>
            </w:r>
            <w:r w:rsidR="00683B56">
              <w:rPr>
                <w:noProof/>
                <w:webHidden/>
              </w:rPr>
              <w:fldChar w:fldCharType="end"/>
            </w:r>
          </w:hyperlink>
        </w:p>
        <w:p w14:paraId="5A491215" w14:textId="238E5EF9"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0" w:history="1">
            <w:r w:rsidR="00683B56" w:rsidRPr="003C3D18">
              <w:rPr>
                <w:rStyle w:val="Lienhypertexte"/>
                <w:noProof/>
              </w:rPr>
              <w:t>Article 3-1 Prix</w:t>
            </w:r>
            <w:r w:rsidR="00683B56">
              <w:rPr>
                <w:noProof/>
                <w:webHidden/>
              </w:rPr>
              <w:tab/>
            </w:r>
            <w:r w:rsidR="00683B56">
              <w:rPr>
                <w:noProof/>
                <w:webHidden/>
              </w:rPr>
              <w:fldChar w:fldCharType="begin"/>
            </w:r>
            <w:r w:rsidR="00683B56">
              <w:rPr>
                <w:noProof/>
                <w:webHidden/>
              </w:rPr>
              <w:instrText xml:space="preserve"> PAGEREF _Toc513628500 \h </w:instrText>
            </w:r>
            <w:r w:rsidR="00683B56">
              <w:rPr>
                <w:noProof/>
                <w:webHidden/>
              </w:rPr>
            </w:r>
            <w:r w:rsidR="00683B56">
              <w:rPr>
                <w:noProof/>
                <w:webHidden/>
              </w:rPr>
              <w:fldChar w:fldCharType="separate"/>
            </w:r>
            <w:r w:rsidR="00F80A97">
              <w:rPr>
                <w:noProof/>
                <w:webHidden/>
              </w:rPr>
              <w:t>8</w:t>
            </w:r>
            <w:r w:rsidR="00683B56">
              <w:rPr>
                <w:noProof/>
                <w:webHidden/>
              </w:rPr>
              <w:fldChar w:fldCharType="end"/>
            </w:r>
          </w:hyperlink>
        </w:p>
        <w:p w14:paraId="404788CB" w14:textId="11A7FFBD"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1" w:history="1">
            <w:r w:rsidR="00683B56" w:rsidRPr="003C3D18">
              <w:rPr>
                <w:rStyle w:val="Lienhypertexte"/>
                <w:noProof/>
              </w:rPr>
              <w:t>Article 3-2 Caractéristiques des prix</w:t>
            </w:r>
            <w:r w:rsidR="00683B56">
              <w:rPr>
                <w:noProof/>
                <w:webHidden/>
              </w:rPr>
              <w:tab/>
            </w:r>
            <w:r w:rsidR="00683B56">
              <w:rPr>
                <w:noProof/>
                <w:webHidden/>
              </w:rPr>
              <w:fldChar w:fldCharType="begin"/>
            </w:r>
            <w:r w:rsidR="00683B56">
              <w:rPr>
                <w:noProof/>
                <w:webHidden/>
              </w:rPr>
              <w:instrText xml:space="preserve"> PAGEREF _Toc513628501 \h </w:instrText>
            </w:r>
            <w:r w:rsidR="00683B56">
              <w:rPr>
                <w:noProof/>
                <w:webHidden/>
              </w:rPr>
            </w:r>
            <w:r w:rsidR="00683B56">
              <w:rPr>
                <w:noProof/>
                <w:webHidden/>
              </w:rPr>
              <w:fldChar w:fldCharType="separate"/>
            </w:r>
            <w:r w:rsidR="00F80A97">
              <w:rPr>
                <w:noProof/>
                <w:webHidden/>
              </w:rPr>
              <w:t>9</w:t>
            </w:r>
            <w:r w:rsidR="00683B56">
              <w:rPr>
                <w:noProof/>
                <w:webHidden/>
              </w:rPr>
              <w:fldChar w:fldCharType="end"/>
            </w:r>
          </w:hyperlink>
        </w:p>
        <w:p w14:paraId="1357B36F" w14:textId="3826916F"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2" w:history="1">
            <w:r w:rsidR="00683B56" w:rsidRPr="003C3D18">
              <w:rPr>
                <w:rStyle w:val="Lienhypertexte"/>
                <w:noProof/>
              </w:rPr>
              <w:t>Article 3-3 Révision des prix unitaires</w:t>
            </w:r>
            <w:r w:rsidR="00683B56">
              <w:rPr>
                <w:noProof/>
                <w:webHidden/>
              </w:rPr>
              <w:tab/>
            </w:r>
            <w:r w:rsidR="00683B56">
              <w:rPr>
                <w:noProof/>
                <w:webHidden/>
              </w:rPr>
              <w:fldChar w:fldCharType="begin"/>
            </w:r>
            <w:r w:rsidR="00683B56">
              <w:rPr>
                <w:noProof/>
                <w:webHidden/>
              </w:rPr>
              <w:instrText xml:space="preserve"> PAGEREF _Toc513628502 \h </w:instrText>
            </w:r>
            <w:r w:rsidR="00683B56">
              <w:rPr>
                <w:noProof/>
                <w:webHidden/>
              </w:rPr>
            </w:r>
            <w:r w:rsidR="00683B56">
              <w:rPr>
                <w:noProof/>
                <w:webHidden/>
              </w:rPr>
              <w:fldChar w:fldCharType="separate"/>
            </w:r>
            <w:r w:rsidR="00F80A97">
              <w:rPr>
                <w:noProof/>
                <w:webHidden/>
              </w:rPr>
              <w:t>11</w:t>
            </w:r>
            <w:r w:rsidR="00683B56">
              <w:rPr>
                <w:noProof/>
                <w:webHidden/>
              </w:rPr>
              <w:fldChar w:fldCharType="end"/>
            </w:r>
          </w:hyperlink>
        </w:p>
        <w:p w14:paraId="268B5B14" w14:textId="143DF9A8"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3" w:history="1">
            <w:r w:rsidR="00683B56" w:rsidRPr="003C3D18">
              <w:rPr>
                <w:rStyle w:val="Lienhypertexte"/>
                <w:noProof/>
              </w:rPr>
              <w:t>Article 3-4 Modalités de paiement et intérêts moratoires</w:t>
            </w:r>
            <w:r w:rsidR="00683B56">
              <w:rPr>
                <w:noProof/>
                <w:webHidden/>
              </w:rPr>
              <w:tab/>
            </w:r>
            <w:r w:rsidR="00683B56">
              <w:rPr>
                <w:noProof/>
                <w:webHidden/>
              </w:rPr>
              <w:fldChar w:fldCharType="begin"/>
            </w:r>
            <w:r w:rsidR="00683B56">
              <w:rPr>
                <w:noProof/>
                <w:webHidden/>
              </w:rPr>
              <w:instrText xml:space="preserve"> PAGEREF _Toc513628503 \h </w:instrText>
            </w:r>
            <w:r w:rsidR="00683B56">
              <w:rPr>
                <w:noProof/>
                <w:webHidden/>
              </w:rPr>
            </w:r>
            <w:r w:rsidR="00683B56">
              <w:rPr>
                <w:noProof/>
                <w:webHidden/>
              </w:rPr>
              <w:fldChar w:fldCharType="separate"/>
            </w:r>
            <w:r w:rsidR="00F80A97">
              <w:rPr>
                <w:noProof/>
                <w:webHidden/>
              </w:rPr>
              <w:t>12</w:t>
            </w:r>
            <w:r w:rsidR="00683B56">
              <w:rPr>
                <w:noProof/>
                <w:webHidden/>
              </w:rPr>
              <w:fldChar w:fldCharType="end"/>
            </w:r>
          </w:hyperlink>
        </w:p>
        <w:p w14:paraId="4B31D91E" w14:textId="0446E667"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4" w:history="1">
            <w:r w:rsidR="00683B56" w:rsidRPr="003C3D18">
              <w:rPr>
                <w:rStyle w:val="Lienhypertexte"/>
                <w:noProof/>
              </w:rPr>
              <w:t>Article 3-5 Avance</w:t>
            </w:r>
            <w:r w:rsidR="00683B56">
              <w:rPr>
                <w:noProof/>
                <w:webHidden/>
              </w:rPr>
              <w:tab/>
            </w:r>
            <w:r w:rsidR="00683B56">
              <w:rPr>
                <w:noProof/>
                <w:webHidden/>
              </w:rPr>
              <w:fldChar w:fldCharType="begin"/>
            </w:r>
            <w:r w:rsidR="00683B56">
              <w:rPr>
                <w:noProof/>
                <w:webHidden/>
              </w:rPr>
              <w:instrText xml:space="preserve"> PAGEREF _Toc513628504 \h </w:instrText>
            </w:r>
            <w:r w:rsidR="00683B56">
              <w:rPr>
                <w:noProof/>
                <w:webHidden/>
              </w:rPr>
            </w:r>
            <w:r w:rsidR="00683B56">
              <w:rPr>
                <w:noProof/>
                <w:webHidden/>
              </w:rPr>
              <w:fldChar w:fldCharType="separate"/>
            </w:r>
            <w:r w:rsidR="00F80A97">
              <w:rPr>
                <w:noProof/>
                <w:webHidden/>
              </w:rPr>
              <w:t>13</w:t>
            </w:r>
            <w:r w:rsidR="00683B56">
              <w:rPr>
                <w:noProof/>
                <w:webHidden/>
              </w:rPr>
              <w:fldChar w:fldCharType="end"/>
            </w:r>
          </w:hyperlink>
        </w:p>
        <w:p w14:paraId="52633F58" w14:textId="6D87A2E6"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5" w:history="1">
            <w:r w:rsidR="00683B56" w:rsidRPr="003C3D18">
              <w:rPr>
                <w:rStyle w:val="Lienhypertexte"/>
                <w:noProof/>
              </w:rPr>
              <w:t>Article 3-6 Acomptes</w:t>
            </w:r>
            <w:r w:rsidR="00683B56">
              <w:rPr>
                <w:noProof/>
                <w:webHidden/>
              </w:rPr>
              <w:tab/>
            </w:r>
            <w:r w:rsidR="00683B56">
              <w:rPr>
                <w:noProof/>
                <w:webHidden/>
              </w:rPr>
              <w:fldChar w:fldCharType="begin"/>
            </w:r>
            <w:r w:rsidR="00683B56">
              <w:rPr>
                <w:noProof/>
                <w:webHidden/>
              </w:rPr>
              <w:instrText xml:space="preserve"> PAGEREF _Toc513628505 \h </w:instrText>
            </w:r>
            <w:r w:rsidR="00683B56">
              <w:rPr>
                <w:noProof/>
                <w:webHidden/>
              </w:rPr>
            </w:r>
            <w:r w:rsidR="00683B56">
              <w:rPr>
                <w:noProof/>
                <w:webHidden/>
              </w:rPr>
              <w:fldChar w:fldCharType="separate"/>
            </w:r>
            <w:r w:rsidR="00F80A97">
              <w:rPr>
                <w:noProof/>
                <w:webHidden/>
              </w:rPr>
              <w:t>14</w:t>
            </w:r>
            <w:r w:rsidR="00683B56">
              <w:rPr>
                <w:noProof/>
                <w:webHidden/>
              </w:rPr>
              <w:fldChar w:fldCharType="end"/>
            </w:r>
          </w:hyperlink>
        </w:p>
        <w:p w14:paraId="4481FEF1" w14:textId="0330BF02"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6" w:history="1">
            <w:r w:rsidR="00683B56" w:rsidRPr="003C3D18">
              <w:rPr>
                <w:rStyle w:val="Lienhypertexte"/>
                <w:noProof/>
              </w:rPr>
              <w:t>Article 3-7 Solde</w:t>
            </w:r>
            <w:r w:rsidR="00683B56">
              <w:rPr>
                <w:noProof/>
                <w:webHidden/>
              </w:rPr>
              <w:tab/>
            </w:r>
            <w:r w:rsidR="00683B56">
              <w:rPr>
                <w:noProof/>
                <w:webHidden/>
              </w:rPr>
              <w:fldChar w:fldCharType="begin"/>
            </w:r>
            <w:r w:rsidR="00683B56">
              <w:rPr>
                <w:noProof/>
                <w:webHidden/>
              </w:rPr>
              <w:instrText xml:space="preserve"> PAGEREF _Toc513628506 \h </w:instrText>
            </w:r>
            <w:r w:rsidR="00683B56">
              <w:rPr>
                <w:noProof/>
                <w:webHidden/>
              </w:rPr>
            </w:r>
            <w:r w:rsidR="00683B56">
              <w:rPr>
                <w:noProof/>
                <w:webHidden/>
              </w:rPr>
              <w:fldChar w:fldCharType="separate"/>
            </w:r>
            <w:r w:rsidR="00F80A97">
              <w:rPr>
                <w:noProof/>
                <w:webHidden/>
              </w:rPr>
              <w:t>18</w:t>
            </w:r>
            <w:r w:rsidR="00683B56">
              <w:rPr>
                <w:noProof/>
                <w:webHidden/>
              </w:rPr>
              <w:fldChar w:fldCharType="end"/>
            </w:r>
          </w:hyperlink>
        </w:p>
        <w:p w14:paraId="4A1E3393" w14:textId="5D38E680" w:rsidR="00683B56" w:rsidRDefault="00B36A93">
          <w:pPr>
            <w:pStyle w:val="TM1"/>
            <w:tabs>
              <w:tab w:val="right" w:leader="dot" w:pos="10332"/>
            </w:tabs>
            <w:rPr>
              <w:rFonts w:asciiTheme="minorHAnsi" w:eastAsiaTheme="minorEastAsia" w:hAnsiTheme="minorHAnsi" w:cstheme="minorBidi"/>
              <w:noProof/>
              <w:color w:val="auto"/>
              <w:sz w:val="22"/>
            </w:rPr>
          </w:pPr>
          <w:hyperlink w:anchor="_Toc513628507" w:history="1">
            <w:r w:rsidR="00683B56" w:rsidRPr="003C3D18">
              <w:rPr>
                <w:rStyle w:val="Lienhypertexte"/>
                <w:noProof/>
              </w:rPr>
              <w:t>Article 4 : Délais d’exécution et pénalités de retard</w:t>
            </w:r>
            <w:r w:rsidR="00683B56">
              <w:rPr>
                <w:noProof/>
                <w:webHidden/>
              </w:rPr>
              <w:tab/>
            </w:r>
            <w:r w:rsidR="00683B56">
              <w:rPr>
                <w:noProof/>
                <w:webHidden/>
              </w:rPr>
              <w:fldChar w:fldCharType="begin"/>
            </w:r>
            <w:r w:rsidR="00683B56">
              <w:rPr>
                <w:noProof/>
                <w:webHidden/>
              </w:rPr>
              <w:instrText xml:space="preserve"> PAGEREF _Toc513628507 \h </w:instrText>
            </w:r>
            <w:r w:rsidR="00683B56">
              <w:rPr>
                <w:noProof/>
                <w:webHidden/>
              </w:rPr>
            </w:r>
            <w:r w:rsidR="00683B56">
              <w:rPr>
                <w:noProof/>
                <w:webHidden/>
              </w:rPr>
              <w:fldChar w:fldCharType="separate"/>
            </w:r>
            <w:r w:rsidR="00F80A97">
              <w:rPr>
                <w:noProof/>
                <w:webHidden/>
              </w:rPr>
              <w:t>20</w:t>
            </w:r>
            <w:r w:rsidR="00683B56">
              <w:rPr>
                <w:noProof/>
                <w:webHidden/>
              </w:rPr>
              <w:fldChar w:fldCharType="end"/>
            </w:r>
          </w:hyperlink>
        </w:p>
        <w:p w14:paraId="03AD67F2" w14:textId="08A5B1C6"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8" w:history="1">
            <w:r w:rsidR="00683B56" w:rsidRPr="003C3D18">
              <w:rPr>
                <w:rStyle w:val="Lienhypertexte"/>
                <w:noProof/>
              </w:rPr>
              <w:t>Article 4-1 Délais -Pénalités missions « Études »</w:t>
            </w:r>
            <w:r w:rsidR="00683B56">
              <w:rPr>
                <w:noProof/>
                <w:webHidden/>
              </w:rPr>
              <w:tab/>
            </w:r>
            <w:r w:rsidR="00683B56">
              <w:rPr>
                <w:noProof/>
                <w:webHidden/>
              </w:rPr>
              <w:fldChar w:fldCharType="begin"/>
            </w:r>
            <w:r w:rsidR="00683B56">
              <w:rPr>
                <w:noProof/>
                <w:webHidden/>
              </w:rPr>
              <w:instrText xml:space="preserve"> PAGEREF _Toc513628508 \h </w:instrText>
            </w:r>
            <w:r w:rsidR="00683B56">
              <w:rPr>
                <w:noProof/>
                <w:webHidden/>
              </w:rPr>
            </w:r>
            <w:r w:rsidR="00683B56">
              <w:rPr>
                <w:noProof/>
                <w:webHidden/>
              </w:rPr>
              <w:fldChar w:fldCharType="separate"/>
            </w:r>
            <w:r w:rsidR="00F80A97">
              <w:rPr>
                <w:noProof/>
                <w:webHidden/>
              </w:rPr>
              <w:t>20</w:t>
            </w:r>
            <w:r w:rsidR="00683B56">
              <w:rPr>
                <w:noProof/>
                <w:webHidden/>
              </w:rPr>
              <w:fldChar w:fldCharType="end"/>
            </w:r>
          </w:hyperlink>
        </w:p>
        <w:p w14:paraId="2E7964B7" w14:textId="7031E585"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09" w:history="1">
            <w:r w:rsidR="00683B56" w:rsidRPr="003C3D18">
              <w:rPr>
                <w:rStyle w:val="Lienhypertexte"/>
                <w:noProof/>
              </w:rPr>
              <w:t>Article 4-2 Délais -Pénalités missions « Travaux »</w:t>
            </w:r>
            <w:r w:rsidR="00683B56">
              <w:rPr>
                <w:noProof/>
                <w:webHidden/>
              </w:rPr>
              <w:tab/>
            </w:r>
            <w:r w:rsidR="00683B56">
              <w:rPr>
                <w:noProof/>
                <w:webHidden/>
              </w:rPr>
              <w:fldChar w:fldCharType="begin"/>
            </w:r>
            <w:r w:rsidR="00683B56">
              <w:rPr>
                <w:noProof/>
                <w:webHidden/>
              </w:rPr>
              <w:instrText xml:space="preserve"> PAGEREF _Toc513628509 \h </w:instrText>
            </w:r>
            <w:r w:rsidR="00683B56">
              <w:rPr>
                <w:noProof/>
                <w:webHidden/>
              </w:rPr>
            </w:r>
            <w:r w:rsidR="00683B56">
              <w:rPr>
                <w:noProof/>
                <w:webHidden/>
              </w:rPr>
              <w:fldChar w:fldCharType="separate"/>
            </w:r>
            <w:r w:rsidR="00F80A97">
              <w:rPr>
                <w:noProof/>
                <w:webHidden/>
              </w:rPr>
              <w:t>23</w:t>
            </w:r>
            <w:r w:rsidR="00683B56">
              <w:rPr>
                <w:noProof/>
                <w:webHidden/>
              </w:rPr>
              <w:fldChar w:fldCharType="end"/>
            </w:r>
          </w:hyperlink>
        </w:p>
        <w:p w14:paraId="021983FF" w14:textId="1FF9D677" w:rsidR="00683B56" w:rsidRDefault="00B36A93">
          <w:pPr>
            <w:pStyle w:val="TM1"/>
            <w:tabs>
              <w:tab w:val="right" w:leader="dot" w:pos="10332"/>
            </w:tabs>
            <w:rPr>
              <w:rFonts w:asciiTheme="minorHAnsi" w:eastAsiaTheme="minorEastAsia" w:hAnsiTheme="minorHAnsi" w:cstheme="minorBidi"/>
              <w:noProof/>
              <w:color w:val="auto"/>
              <w:sz w:val="22"/>
            </w:rPr>
          </w:pPr>
          <w:hyperlink w:anchor="_Toc513628510" w:history="1">
            <w:r w:rsidR="00683B56" w:rsidRPr="003C3D18">
              <w:rPr>
                <w:rStyle w:val="Lienhypertexte"/>
                <w:noProof/>
              </w:rPr>
              <w:t>Article 5 : Exécution de la mission de maîtrise d’œuvre jusqu’à la passation des marchés de travaux</w:t>
            </w:r>
            <w:r w:rsidR="00683B56">
              <w:rPr>
                <w:noProof/>
                <w:webHidden/>
              </w:rPr>
              <w:tab/>
            </w:r>
            <w:r w:rsidR="00683B56">
              <w:rPr>
                <w:noProof/>
                <w:webHidden/>
              </w:rPr>
              <w:fldChar w:fldCharType="begin"/>
            </w:r>
            <w:r w:rsidR="00683B56">
              <w:rPr>
                <w:noProof/>
                <w:webHidden/>
              </w:rPr>
              <w:instrText xml:space="preserve"> PAGEREF _Toc513628510 \h </w:instrText>
            </w:r>
            <w:r w:rsidR="00683B56">
              <w:rPr>
                <w:noProof/>
                <w:webHidden/>
              </w:rPr>
            </w:r>
            <w:r w:rsidR="00683B56">
              <w:rPr>
                <w:noProof/>
                <w:webHidden/>
              </w:rPr>
              <w:fldChar w:fldCharType="separate"/>
            </w:r>
            <w:r w:rsidR="00F80A97">
              <w:rPr>
                <w:noProof/>
                <w:webHidden/>
              </w:rPr>
              <w:t>25</w:t>
            </w:r>
            <w:r w:rsidR="00683B56">
              <w:rPr>
                <w:noProof/>
                <w:webHidden/>
              </w:rPr>
              <w:fldChar w:fldCharType="end"/>
            </w:r>
          </w:hyperlink>
        </w:p>
        <w:p w14:paraId="27E97400" w14:textId="37372CAD"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11" w:history="1">
            <w:r w:rsidR="00683B56" w:rsidRPr="003C3D18">
              <w:rPr>
                <w:rStyle w:val="Lienhypertexte"/>
                <w:noProof/>
              </w:rPr>
              <w:t>Article 5-1 Coût prévisionnel des travaux</w:t>
            </w:r>
            <w:r w:rsidR="00683B56">
              <w:rPr>
                <w:noProof/>
                <w:webHidden/>
              </w:rPr>
              <w:tab/>
            </w:r>
            <w:r w:rsidR="00683B56">
              <w:rPr>
                <w:noProof/>
                <w:webHidden/>
              </w:rPr>
              <w:fldChar w:fldCharType="begin"/>
            </w:r>
            <w:r w:rsidR="00683B56">
              <w:rPr>
                <w:noProof/>
                <w:webHidden/>
              </w:rPr>
              <w:instrText xml:space="preserve"> PAGEREF _Toc513628511 \h </w:instrText>
            </w:r>
            <w:r w:rsidR="00683B56">
              <w:rPr>
                <w:noProof/>
                <w:webHidden/>
              </w:rPr>
            </w:r>
            <w:r w:rsidR="00683B56">
              <w:rPr>
                <w:noProof/>
                <w:webHidden/>
              </w:rPr>
              <w:fldChar w:fldCharType="separate"/>
            </w:r>
            <w:r w:rsidR="00F80A97">
              <w:rPr>
                <w:noProof/>
                <w:webHidden/>
              </w:rPr>
              <w:t>25</w:t>
            </w:r>
            <w:r w:rsidR="00683B56">
              <w:rPr>
                <w:noProof/>
                <w:webHidden/>
              </w:rPr>
              <w:fldChar w:fldCharType="end"/>
            </w:r>
          </w:hyperlink>
        </w:p>
        <w:p w14:paraId="4213FDD7" w14:textId="200D728A"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12" w:history="1">
            <w:r w:rsidR="00683B56" w:rsidRPr="003C3D18">
              <w:rPr>
                <w:rStyle w:val="Lienhypertexte"/>
                <w:noProof/>
              </w:rPr>
              <w:t>Article 5-2 Conditions économiques d’établissement</w:t>
            </w:r>
            <w:r w:rsidR="00683B56">
              <w:rPr>
                <w:noProof/>
                <w:webHidden/>
              </w:rPr>
              <w:tab/>
            </w:r>
            <w:r w:rsidR="00683B56">
              <w:rPr>
                <w:noProof/>
                <w:webHidden/>
              </w:rPr>
              <w:fldChar w:fldCharType="begin"/>
            </w:r>
            <w:r w:rsidR="00683B56">
              <w:rPr>
                <w:noProof/>
                <w:webHidden/>
              </w:rPr>
              <w:instrText xml:space="preserve"> PAGEREF _Toc513628512 \h </w:instrText>
            </w:r>
            <w:r w:rsidR="00683B56">
              <w:rPr>
                <w:noProof/>
                <w:webHidden/>
              </w:rPr>
            </w:r>
            <w:r w:rsidR="00683B56">
              <w:rPr>
                <w:noProof/>
                <w:webHidden/>
              </w:rPr>
              <w:fldChar w:fldCharType="separate"/>
            </w:r>
            <w:r w:rsidR="00F80A97">
              <w:rPr>
                <w:noProof/>
                <w:webHidden/>
              </w:rPr>
              <w:t>25</w:t>
            </w:r>
            <w:r w:rsidR="00683B56">
              <w:rPr>
                <w:noProof/>
                <w:webHidden/>
              </w:rPr>
              <w:fldChar w:fldCharType="end"/>
            </w:r>
          </w:hyperlink>
        </w:p>
        <w:p w14:paraId="13FE09C9" w14:textId="123D3C02"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13" w:history="1">
            <w:r w:rsidR="00683B56" w:rsidRPr="003C3D18">
              <w:rPr>
                <w:rStyle w:val="Lienhypertexte"/>
                <w:noProof/>
              </w:rPr>
              <w:t>Article 5-3 Tolérance sur le coût prévisionnel des travaux</w:t>
            </w:r>
            <w:r w:rsidR="00683B56">
              <w:rPr>
                <w:noProof/>
                <w:webHidden/>
              </w:rPr>
              <w:tab/>
            </w:r>
            <w:r w:rsidR="00683B56">
              <w:rPr>
                <w:noProof/>
                <w:webHidden/>
              </w:rPr>
              <w:fldChar w:fldCharType="begin"/>
            </w:r>
            <w:r w:rsidR="00683B56">
              <w:rPr>
                <w:noProof/>
                <w:webHidden/>
              </w:rPr>
              <w:instrText xml:space="preserve"> PAGEREF _Toc513628513 \h </w:instrText>
            </w:r>
            <w:r w:rsidR="00683B56">
              <w:rPr>
                <w:noProof/>
                <w:webHidden/>
              </w:rPr>
            </w:r>
            <w:r w:rsidR="00683B56">
              <w:rPr>
                <w:noProof/>
                <w:webHidden/>
              </w:rPr>
              <w:fldChar w:fldCharType="separate"/>
            </w:r>
            <w:r w:rsidR="00F80A97">
              <w:rPr>
                <w:noProof/>
                <w:webHidden/>
              </w:rPr>
              <w:t>25</w:t>
            </w:r>
            <w:r w:rsidR="00683B56">
              <w:rPr>
                <w:noProof/>
                <w:webHidden/>
              </w:rPr>
              <w:fldChar w:fldCharType="end"/>
            </w:r>
          </w:hyperlink>
        </w:p>
        <w:p w14:paraId="13CA0DFB" w14:textId="29B1C71B"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14" w:history="1">
            <w:r w:rsidR="00683B56" w:rsidRPr="003C3D18">
              <w:rPr>
                <w:rStyle w:val="Lienhypertexte"/>
                <w:noProof/>
              </w:rPr>
              <w:t>Article 5-4 Seuil de tolérance</w:t>
            </w:r>
            <w:r w:rsidR="00683B56">
              <w:rPr>
                <w:noProof/>
                <w:webHidden/>
              </w:rPr>
              <w:tab/>
            </w:r>
            <w:r w:rsidR="00683B56">
              <w:rPr>
                <w:noProof/>
                <w:webHidden/>
              </w:rPr>
              <w:fldChar w:fldCharType="begin"/>
            </w:r>
            <w:r w:rsidR="00683B56">
              <w:rPr>
                <w:noProof/>
                <w:webHidden/>
              </w:rPr>
              <w:instrText xml:space="preserve"> PAGEREF _Toc513628514 \h </w:instrText>
            </w:r>
            <w:r w:rsidR="00683B56">
              <w:rPr>
                <w:noProof/>
                <w:webHidden/>
              </w:rPr>
            </w:r>
            <w:r w:rsidR="00683B56">
              <w:rPr>
                <w:noProof/>
                <w:webHidden/>
              </w:rPr>
              <w:fldChar w:fldCharType="separate"/>
            </w:r>
            <w:r w:rsidR="00F80A97">
              <w:rPr>
                <w:noProof/>
                <w:webHidden/>
              </w:rPr>
              <w:t>25</w:t>
            </w:r>
            <w:r w:rsidR="00683B56">
              <w:rPr>
                <w:noProof/>
                <w:webHidden/>
              </w:rPr>
              <w:fldChar w:fldCharType="end"/>
            </w:r>
          </w:hyperlink>
        </w:p>
        <w:p w14:paraId="4987253C" w14:textId="64D323FD"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15" w:history="1">
            <w:r w:rsidR="00683B56" w:rsidRPr="003C3D18">
              <w:rPr>
                <w:rStyle w:val="Lienhypertexte"/>
                <w:noProof/>
              </w:rPr>
              <w:t>Article 5-5 Coût de référence des travaux</w:t>
            </w:r>
            <w:r w:rsidR="00683B56">
              <w:rPr>
                <w:noProof/>
                <w:webHidden/>
              </w:rPr>
              <w:tab/>
            </w:r>
            <w:r w:rsidR="00683B56">
              <w:rPr>
                <w:noProof/>
                <w:webHidden/>
              </w:rPr>
              <w:fldChar w:fldCharType="begin"/>
            </w:r>
            <w:r w:rsidR="00683B56">
              <w:rPr>
                <w:noProof/>
                <w:webHidden/>
              </w:rPr>
              <w:instrText xml:space="preserve"> PAGEREF _Toc513628515 \h </w:instrText>
            </w:r>
            <w:r w:rsidR="00683B56">
              <w:rPr>
                <w:noProof/>
                <w:webHidden/>
              </w:rPr>
            </w:r>
            <w:r w:rsidR="00683B56">
              <w:rPr>
                <w:noProof/>
                <w:webHidden/>
              </w:rPr>
              <w:fldChar w:fldCharType="separate"/>
            </w:r>
            <w:r w:rsidR="00F80A97">
              <w:rPr>
                <w:noProof/>
                <w:webHidden/>
              </w:rPr>
              <w:t>26</w:t>
            </w:r>
            <w:r w:rsidR="00683B56">
              <w:rPr>
                <w:noProof/>
                <w:webHidden/>
              </w:rPr>
              <w:fldChar w:fldCharType="end"/>
            </w:r>
          </w:hyperlink>
        </w:p>
        <w:p w14:paraId="60AC3A79" w14:textId="2E8B7984"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16" w:history="1">
            <w:r w:rsidR="00683B56" w:rsidRPr="003C3D18">
              <w:rPr>
                <w:rStyle w:val="Lienhypertexte"/>
                <w:noProof/>
              </w:rPr>
              <w:t>5-6 Études particulières comprises dans les Missions « Études »</w:t>
            </w:r>
            <w:r w:rsidR="00683B56">
              <w:rPr>
                <w:noProof/>
                <w:webHidden/>
              </w:rPr>
              <w:tab/>
            </w:r>
            <w:r w:rsidR="00683B56">
              <w:rPr>
                <w:noProof/>
                <w:webHidden/>
              </w:rPr>
              <w:fldChar w:fldCharType="begin"/>
            </w:r>
            <w:r w:rsidR="00683B56">
              <w:rPr>
                <w:noProof/>
                <w:webHidden/>
              </w:rPr>
              <w:instrText xml:space="preserve"> PAGEREF _Toc513628516 \h </w:instrText>
            </w:r>
            <w:r w:rsidR="00683B56">
              <w:rPr>
                <w:noProof/>
                <w:webHidden/>
              </w:rPr>
            </w:r>
            <w:r w:rsidR="00683B56">
              <w:rPr>
                <w:noProof/>
                <w:webHidden/>
              </w:rPr>
              <w:fldChar w:fldCharType="separate"/>
            </w:r>
            <w:r w:rsidR="00F80A97">
              <w:rPr>
                <w:noProof/>
                <w:webHidden/>
              </w:rPr>
              <w:t>26</w:t>
            </w:r>
            <w:r w:rsidR="00683B56">
              <w:rPr>
                <w:noProof/>
                <w:webHidden/>
              </w:rPr>
              <w:fldChar w:fldCharType="end"/>
            </w:r>
          </w:hyperlink>
        </w:p>
        <w:p w14:paraId="4A4C1F54" w14:textId="17782A4B" w:rsidR="00683B56" w:rsidRDefault="00B36A93">
          <w:pPr>
            <w:pStyle w:val="TM1"/>
            <w:tabs>
              <w:tab w:val="right" w:leader="dot" w:pos="10332"/>
            </w:tabs>
            <w:rPr>
              <w:rFonts w:asciiTheme="minorHAnsi" w:eastAsiaTheme="minorEastAsia" w:hAnsiTheme="minorHAnsi" w:cstheme="minorBidi"/>
              <w:noProof/>
              <w:color w:val="auto"/>
              <w:sz w:val="22"/>
            </w:rPr>
          </w:pPr>
          <w:hyperlink w:anchor="_Toc513628517" w:history="1">
            <w:r w:rsidR="00683B56" w:rsidRPr="003C3D18">
              <w:rPr>
                <w:rStyle w:val="Lienhypertexte"/>
                <w:noProof/>
              </w:rPr>
              <w:t>Article 6 : Exécution de la mission de maîtrise d’œuvre après la passation des marchés de travaux</w:t>
            </w:r>
            <w:r w:rsidR="00683B56">
              <w:rPr>
                <w:noProof/>
                <w:webHidden/>
              </w:rPr>
              <w:tab/>
            </w:r>
            <w:r w:rsidR="00683B56">
              <w:rPr>
                <w:noProof/>
                <w:webHidden/>
              </w:rPr>
              <w:fldChar w:fldCharType="begin"/>
            </w:r>
            <w:r w:rsidR="00683B56">
              <w:rPr>
                <w:noProof/>
                <w:webHidden/>
              </w:rPr>
              <w:instrText xml:space="preserve"> PAGEREF _Toc513628517 \h </w:instrText>
            </w:r>
            <w:r w:rsidR="00683B56">
              <w:rPr>
                <w:noProof/>
                <w:webHidden/>
              </w:rPr>
            </w:r>
            <w:r w:rsidR="00683B56">
              <w:rPr>
                <w:noProof/>
                <w:webHidden/>
              </w:rPr>
              <w:fldChar w:fldCharType="separate"/>
            </w:r>
            <w:r w:rsidR="00F80A97">
              <w:rPr>
                <w:noProof/>
                <w:webHidden/>
              </w:rPr>
              <w:t>27</w:t>
            </w:r>
            <w:r w:rsidR="00683B56">
              <w:rPr>
                <w:noProof/>
                <w:webHidden/>
              </w:rPr>
              <w:fldChar w:fldCharType="end"/>
            </w:r>
          </w:hyperlink>
        </w:p>
        <w:p w14:paraId="655ABE84" w14:textId="7CCCBE3E"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18" w:history="1">
            <w:r w:rsidR="00683B56" w:rsidRPr="003C3D18">
              <w:rPr>
                <w:rStyle w:val="Lienhypertexte"/>
                <w:noProof/>
              </w:rPr>
              <w:t>Article 6-1 Coût de réalisation des travaux</w:t>
            </w:r>
            <w:r w:rsidR="00683B56">
              <w:rPr>
                <w:noProof/>
                <w:webHidden/>
              </w:rPr>
              <w:tab/>
            </w:r>
            <w:r w:rsidR="00683B56">
              <w:rPr>
                <w:noProof/>
                <w:webHidden/>
              </w:rPr>
              <w:fldChar w:fldCharType="begin"/>
            </w:r>
            <w:r w:rsidR="00683B56">
              <w:rPr>
                <w:noProof/>
                <w:webHidden/>
              </w:rPr>
              <w:instrText xml:space="preserve"> PAGEREF _Toc513628518 \h </w:instrText>
            </w:r>
            <w:r w:rsidR="00683B56">
              <w:rPr>
                <w:noProof/>
                <w:webHidden/>
              </w:rPr>
            </w:r>
            <w:r w:rsidR="00683B56">
              <w:rPr>
                <w:noProof/>
                <w:webHidden/>
              </w:rPr>
              <w:fldChar w:fldCharType="separate"/>
            </w:r>
            <w:r w:rsidR="00F80A97">
              <w:rPr>
                <w:noProof/>
                <w:webHidden/>
              </w:rPr>
              <w:t>27</w:t>
            </w:r>
            <w:r w:rsidR="00683B56">
              <w:rPr>
                <w:noProof/>
                <w:webHidden/>
              </w:rPr>
              <w:fldChar w:fldCharType="end"/>
            </w:r>
          </w:hyperlink>
        </w:p>
        <w:p w14:paraId="654BC875" w14:textId="295E74A5"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19" w:history="1">
            <w:r w:rsidR="00683B56" w:rsidRPr="003C3D18">
              <w:rPr>
                <w:rStyle w:val="Lienhypertexte"/>
                <w:noProof/>
              </w:rPr>
              <w:t>Article 6-2 Conditions économiques d’établissement</w:t>
            </w:r>
            <w:r w:rsidR="00683B56">
              <w:rPr>
                <w:noProof/>
                <w:webHidden/>
              </w:rPr>
              <w:tab/>
            </w:r>
            <w:r w:rsidR="00683B56">
              <w:rPr>
                <w:noProof/>
                <w:webHidden/>
              </w:rPr>
              <w:fldChar w:fldCharType="begin"/>
            </w:r>
            <w:r w:rsidR="00683B56">
              <w:rPr>
                <w:noProof/>
                <w:webHidden/>
              </w:rPr>
              <w:instrText xml:space="preserve"> PAGEREF _Toc513628519 \h </w:instrText>
            </w:r>
            <w:r w:rsidR="00683B56">
              <w:rPr>
                <w:noProof/>
                <w:webHidden/>
              </w:rPr>
            </w:r>
            <w:r w:rsidR="00683B56">
              <w:rPr>
                <w:noProof/>
                <w:webHidden/>
              </w:rPr>
              <w:fldChar w:fldCharType="separate"/>
            </w:r>
            <w:r w:rsidR="00F80A97">
              <w:rPr>
                <w:noProof/>
                <w:webHidden/>
              </w:rPr>
              <w:t>27</w:t>
            </w:r>
            <w:r w:rsidR="00683B56">
              <w:rPr>
                <w:noProof/>
                <w:webHidden/>
              </w:rPr>
              <w:fldChar w:fldCharType="end"/>
            </w:r>
          </w:hyperlink>
        </w:p>
        <w:p w14:paraId="27563009" w14:textId="4C623CFF"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0" w:history="1">
            <w:r w:rsidR="00683B56" w:rsidRPr="003C3D18">
              <w:rPr>
                <w:rStyle w:val="Lienhypertexte"/>
                <w:noProof/>
              </w:rPr>
              <w:t>Article 6-4 Seuil de tolérance sur le coût de réalisation des travaux</w:t>
            </w:r>
            <w:r w:rsidR="00683B56">
              <w:rPr>
                <w:noProof/>
                <w:webHidden/>
              </w:rPr>
              <w:tab/>
            </w:r>
            <w:r w:rsidR="00683B56">
              <w:rPr>
                <w:noProof/>
                <w:webHidden/>
              </w:rPr>
              <w:fldChar w:fldCharType="begin"/>
            </w:r>
            <w:r w:rsidR="00683B56">
              <w:rPr>
                <w:noProof/>
                <w:webHidden/>
              </w:rPr>
              <w:instrText xml:space="preserve"> PAGEREF _Toc513628520 \h </w:instrText>
            </w:r>
            <w:r w:rsidR="00683B56">
              <w:rPr>
                <w:noProof/>
                <w:webHidden/>
              </w:rPr>
            </w:r>
            <w:r w:rsidR="00683B56">
              <w:rPr>
                <w:noProof/>
                <w:webHidden/>
              </w:rPr>
              <w:fldChar w:fldCharType="separate"/>
            </w:r>
            <w:r w:rsidR="00F80A97">
              <w:rPr>
                <w:noProof/>
                <w:webHidden/>
              </w:rPr>
              <w:t>28</w:t>
            </w:r>
            <w:r w:rsidR="00683B56">
              <w:rPr>
                <w:noProof/>
                <w:webHidden/>
              </w:rPr>
              <w:fldChar w:fldCharType="end"/>
            </w:r>
          </w:hyperlink>
        </w:p>
        <w:p w14:paraId="307D8297" w14:textId="5270BD66"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1" w:history="1">
            <w:r w:rsidR="00683B56" w:rsidRPr="003C3D18">
              <w:rPr>
                <w:rStyle w:val="Lienhypertexte"/>
                <w:noProof/>
              </w:rPr>
              <w:t>Article 6-5 Comparaison entre réalité et tolérance</w:t>
            </w:r>
            <w:r w:rsidR="00683B56">
              <w:rPr>
                <w:noProof/>
                <w:webHidden/>
              </w:rPr>
              <w:tab/>
            </w:r>
            <w:r w:rsidR="00683B56">
              <w:rPr>
                <w:noProof/>
                <w:webHidden/>
              </w:rPr>
              <w:fldChar w:fldCharType="begin"/>
            </w:r>
            <w:r w:rsidR="00683B56">
              <w:rPr>
                <w:noProof/>
                <w:webHidden/>
              </w:rPr>
              <w:instrText xml:space="preserve"> PAGEREF _Toc513628521 \h </w:instrText>
            </w:r>
            <w:r w:rsidR="00683B56">
              <w:rPr>
                <w:noProof/>
                <w:webHidden/>
              </w:rPr>
            </w:r>
            <w:r w:rsidR="00683B56">
              <w:rPr>
                <w:noProof/>
                <w:webHidden/>
              </w:rPr>
              <w:fldChar w:fldCharType="separate"/>
            </w:r>
            <w:r w:rsidR="00F80A97">
              <w:rPr>
                <w:noProof/>
                <w:webHidden/>
              </w:rPr>
              <w:t>28</w:t>
            </w:r>
            <w:r w:rsidR="00683B56">
              <w:rPr>
                <w:noProof/>
                <w:webHidden/>
              </w:rPr>
              <w:fldChar w:fldCharType="end"/>
            </w:r>
          </w:hyperlink>
        </w:p>
        <w:p w14:paraId="5A07B2F8" w14:textId="1CFF0528"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2" w:history="1">
            <w:r w:rsidR="00683B56" w:rsidRPr="003C3D18">
              <w:rPr>
                <w:rStyle w:val="Lienhypertexte"/>
                <w:noProof/>
              </w:rPr>
              <w:t>Article 6-6 Pénalités pour dépassement du seuil de tolérance</w:t>
            </w:r>
            <w:r w:rsidR="00683B56">
              <w:rPr>
                <w:noProof/>
                <w:webHidden/>
              </w:rPr>
              <w:tab/>
            </w:r>
            <w:r w:rsidR="00683B56">
              <w:rPr>
                <w:noProof/>
                <w:webHidden/>
              </w:rPr>
              <w:fldChar w:fldCharType="begin"/>
            </w:r>
            <w:r w:rsidR="00683B56">
              <w:rPr>
                <w:noProof/>
                <w:webHidden/>
              </w:rPr>
              <w:instrText xml:space="preserve"> PAGEREF _Toc513628522 \h </w:instrText>
            </w:r>
            <w:r w:rsidR="00683B56">
              <w:rPr>
                <w:noProof/>
                <w:webHidden/>
              </w:rPr>
            </w:r>
            <w:r w:rsidR="00683B56">
              <w:rPr>
                <w:noProof/>
                <w:webHidden/>
              </w:rPr>
              <w:fldChar w:fldCharType="separate"/>
            </w:r>
            <w:r w:rsidR="00F80A97">
              <w:rPr>
                <w:noProof/>
                <w:webHidden/>
              </w:rPr>
              <w:t>28</w:t>
            </w:r>
            <w:r w:rsidR="00683B56">
              <w:rPr>
                <w:noProof/>
                <w:webHidden/>
              </w:rPr>
              <w:fldChar w:fldCharType="end"/>
            </w:r>
          </w:hyperlink>
        </w:p>
        <w:p w14:paraId="7469C54F" w14:textId="7DFEAC15"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3" w:history="1">
            <w:r w:rsidR="00683B56" w:rsidRPr="003C3D18">
              <w:rPr>
                <w:rStyle w:val="Lienhypertexte"/>
                <w:noProof/>
              </w:rPr>
              <w:t>Article 6-9 Protection de la main d’œuvre et conditions de travail</w:t>
            </w:r>
            <w:r w:rsidR="00683B56">
              <w:rPr>
                <w:noProof/>
                <w:webHidden/>
              </w:rPr>
              <w:tab/>
            </w:r>
            <w:r w:rsidR="00683B56">
              <w:rPr>
                <w:noProof/>
                <w:webHidden/>
              </w:rPr>
              <w:fldChar w:fldCharType="begin"/>
            </w:r>
            <w:r w:rsidR="00683B56">
              <w:rPr>
                <w:noProof/>
                <w:webHidden/>
              </w:rPr>
              <w:instrText xml:space="preserve"> PAGEREF _Toc513628523 \h </w:instrText>
            </w:r>
            <w:r w:rsidR="00683B56">
              <w:rPr>
                <w:noProof/>
                <w:webHidden/>
              </w:rPr>
            </w:r>
            <w:r w:rsidR="00683B56">
              <w:rPr>
                <w:noProof/>
                <w:webHidden/>
              </w:rPr>
              <w:fldChar w:fldCharType="separate"/>
            </w:r>
            <w:r w:rsidR="00F80A97">
              <w:rPr>
                <w:noProof/>
                <w:webHidden/>
              </w:rPr>
              <w:t>29</w:t>
            </w:r>
            <w:r w:rsidR="00683B56">
              <w:rPr>
                <w:noProof/>
                <w:webHidden/>
              </w:rPr>
              <w:fldChar w:fldCharType="end"/>
            </w:r>
          </w:hyperlink>
        </w:p>
        <w:p w14:paraId="18C35326" w14:textId="1CF4A90F"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4" w:history="1">
            <w:r w:rsidR="00683B56" w:rsidRPr="003C3D18">
              <w:rPr>
                <w:rStyle w:val="Lienhypertexte"/>
                <w:noProof/>
              </w:rPr>
              <w:t>Article 6-10 Suivi de l’exécution des travaux</w:t>
            </w:r>
            <w:r w:rsidR="00683B56">
              <w:rPr>
                <w:noProof/>
                <w:webHidden/>
              </w:rPr>
              <w:tab/>
            </w:r>
            <w:r w:rsidR="00683B56">
              <w:rPr>
                <w:noProof/>
                <w:webHidden/>
              </w:rPr>
              <w:fldChar w:fldCharType="begin"/>
            </w:r>
            <w:r w:rsidR="00683B56">
              <w:rPr>
                <w:noProof/>
                <w:webHidden/>
              </w:rPr>
              <w:instrText xml:space="preserve"> PAGEREF _Toc513628524 \h </w:instrText>
            </w:r>
            <w:r w:rsidR="00683B56">
              <w:rPr>
                <w:noProof/>
                <w:webHidden/>
              </w:rPr>
            </w:r>
            <w:r w:rsidR="00683B56">
              <w:rPr>
                <w:noProof/>
                <w:webHidden/>
              </w:rPr>
              <w:fldChar w:fldCharType="separate"/>
            </w:r>
            <w:r w:rsidR="00F80A97">
              <w:rPr>
                <w:noProof/>
                <w:webHidden/>
              </w:rPr>
              <w:t>29</w:t>
            </w:r>
            <w:r w:rsidR="00683B56">
              <w:rPr>
                <w:noProof/>
                <w:webHidden/>
              </w:rPr>
              <w:fldChar w:fldCharType="end"/>
            </w:r>
          </w:hyperlink>
        </w:p>
        <w:p w14:paraId="18599E91" w14:textId="1B59916B"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5" w:history="1">
            <w:r w:rsidR="00683B56" w:rsidRPr="003C3D18">
              <w:rPr>
                <w:rStyle w:val="Lienhypertexte"/>
                <w:noProof/>
              </w:rPr>
              <w:t>6-11 Utilisation des résultats</w:t>
            </w:r>
            <w:r w:rsidR="00683B56">
              <w:rPr>
                <w:noProof/>
                <w:webHidden/>
              </w:rPr>
              <w:tab/>
            </w:r>
            <w:r w:rsidR="00683B56">
              <w:rPr>
                <w:noProof/>
                <w:webHidden/>
              </w:rPr>
              <w:fldChar w:fldCharType="begin"/>
            </w:r>
            <w:r w:rsidR="00683B56">
              <w:rPr>
                <w:noProof/>
                <w:webHidden/>
              </w:rPr>
              <w:instrText xml:space="preserve"> PAGEREF _Toc513628525 \h </w:instrText>
            </w:r>
            <w:r w:rsidR="00683B56">
              <w:rPr>
                <w:noProof/>
                <w:webHidden/>
              </w:rPr>
            </w:r>
            <w:r w:rsidR="00683B56">
              <w:rPr>
                <w:noProof/>
                <w:webHidden/>
              </w:rPr>
              <w:fldChar w:fldCharType="separate"/>
            </w:r>
            <w:r w:rsidR="00F80A97">
              <w:rPr>
                <w:noProof/>
                <w:webHidden/>
              </w:rPr>
              <w:t>30</w:t>
            </w:r>
            <w:r w:rsidR="00683B56">
              <w:rPr>
                <w:noProof/>
                <w:webHidden/>
              </w:rPr>
              <w:fldChar w:fldCharType="end"/>
            </w:r>
          </w:hyperlink>
        </w:p>
        <w:p w14:paraId="4124D846" w14:textId="03DA6A17"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6" w:history="1">
            <w:r w:rsidR="00683B56" w:rsidRPr="003C3D18">
              <w:rPr>
                <w:rStyle w:val="Lienhypertexte"/>
                <w:noProof/>
              </w:rPr>
              <w:t>Article 6-12 Arrêt de l’exécution de la prestation</w:t>
            </w:r>
            <w:r w:rsidR="00683B56">
              <w:rPr>
                <w:noProof/>
                <w:webHidden/>
              </w:rPr>
              <w:tab/>
            </w:r>
            <w:r w:rsidR="00683B56">
              <w:rPr>
                <w:noProof/>
                <w:webHidden/>
              </w:rPr>
              <w:fldChar w:fldCharType="begin"/>
            </w:r>
            <w:r w:rsidR="00683B56">
              <w:rPr>
                <w:noProof/>
                <w:webHidden/>
              </w:rPr>
              <w:instrText xml:space="preserve"> PAGEREF _Toc513628526 \h </w:instrText>
            </w:r>
            <w:r w:rsidR="00683B56">
              <w:rPr>
                <w:noProof/>
                <w:webHidden/>
              </w:rPr>
            </w:r>
            <w:r w:rsidR="00683B56">
              <w:rPr>
                <w:noProof/>
                <w:webHidden/>
              </w:rPr>
              <w:fldChar w:fldCharType="separate"/>
            </w:r>
            <w:r w:rsidR="00F80A97">
              <w:rPr>
                <w:noProof/>
                <w:webHidden/>
              </w:rPr>
              <w:t>30</w:t>
            </w:r>
            <w:r w:rsidR="00683B56">
              <w:rPr>
                <w:noProof/>
                <w:webHidden/>
              </w:rPr>
              <w:fldChar w:fldCharType="end"/>
            </w:r>
          </w:hyperlink>
        </w:p>
        <w:p w14:paraId="3D89C6BA" w14:textId="32306916"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7" w:history="1">
            <w:r w:rsidR="00683B56" w:rsidRPr="003C3D18">
              <w:rPr>
                <w:rStyle w:val="Lienhypertexte"/>
                <w:noProof/>
              </w:rPr>
              <w:t>Article 6-13 Achèvement de la mission et garanties particulières</w:t>
            </w:r>
            <w:r w:rsidR="00683B56">
              <w:rPr>
                <w:noProof/>
                <w:webHidden/>
              </w:rPr>
              <w:tab/>
            </w:r>
            <w:r w:rsidR="00683B56">
              <w:rPr>
                <w:noProof/>
                <w:webHidden/>
              </w:rPr>
              <w:fldChar w:fldCharType="begin"/>
            </w:r>
            <w:r w:rsidR="00683B56">
              <w:rPr>
                <w:noProof/>
                <w:webHidden/>
              </w:rPr>
              <w:instrText xml:space="preserve"> PAGEREF _Toc513628527 \h </w:instrText>
            </w:r>
            <w:r w:rsidR="00683B56">
              <w:rPr>
                <w:noProof/>
                <w:webHidden/>
              </w:rPr>
            </w:r>
            <w:r w:rsidR="00683B56">
              <w:rPr>
                <w:noProof/>
                <w:webHidden/>
              </w:rPr>
              <w:fldChar w:fldCharType="separate"/>
            </w:r>
            <w:r w:rsidR="00F80A97">
              <w:rPr>
                <w:noProof/>
                <w:webHidden/>
              </w:rPr>
              <w:t>30</w:t>
            </w:r>
            <w:r w:rsidR="00683B56">
              <w:rPr>
                <w:noProof/>
                <w:webHidden/>
              </w:rPr>
              <w:fldChar w:fldCharType="end"/>
            </w:r>
          </w:hyperlink>
        </w:p>
        <w:p w14:paraId="6999AA7B" w14:textId="513528E1" w:rsidR="00683B56" w:rsidRDefault="00B36A93">
          <w:pPr>
            <w:pStyle w:val="TM1"/>
            <w:tabs>
              <w:tab w:val="right" w:leader="dot" w:pos="10332"/>
            </w:tabs>
            <w:rPr>
              <w:rFonts w:asciiTheme="minorHAnsi" w:eastAsiaTheme="minorEastAsia" w:hAnsiTheme="minorHAnsi" w:cstheme="minorBidi"/>
              <w:noProof/>
              <w:color w:val="auto"/>
              <w:sz w:val="22"/>
            </w:rPr>
          </w:pPr>
          <w:hyperlink w:anchor="_Toc513628528" w:history="1">
            <w:r w:rsidR="00683B56" w:rsidRPr="003C3D18">
              <w:rPr>
                <w:rStyle w:val="Lienhypertexte"/>
                <w:noProof/>
              </w:rPr>
              <w:t>Article 7 : Résiliation du marché et clauses diverses</w:t>
            </w:r>
            <w:r w:rsidR="00683B56">
              <w:rPr>
                <w:noProof/>
                <w:webHidden/>
              </w:rPr>
              <w:tab/>
            </w:r>
            <w:r w:rsidR="00683B56">
              <w:rPr>
                <w:noProof/>
                <w:webHidden/>
              </w:rPr>
              <w:fldChar w:fldCharType="begin"/>
            </w:r>
            <w:r w:rsidR="00683B56">
              <w:rPr>
                <w:noProof/>
                <w:webHidden/>
              </w:rPr>
              <w:instrText xml:space="preserve"> PAGEREF _Toc513628528 \h </w:instrText>
            </w:r>
            <w:r w:rsidR="00683B56">
              <w:rPr>
                <w:noProof/>
                <w:webHidden/>
              </w:rPr>
            </w:r>
            <w:r w:rsidR="00683B56">
              <w:rPr>
                <w:noProof/>
                <w:webHidden/>
              </w:rPr>
              <w:fldChar w:fldCharType="separate"/>
            </w:r>
            <w:r w:rsidR="00F80A97">
              <w:rPr>
                <w:noProof/>
                <w:webHidden/>
              </w:rPr>
              <w:t>31</w:t>
            </w:r>
            <w:r w:rsidR="00683B56">
              <w:rPr>
                <w:noProof/>
                <w:webHidden/>
              </w:rPr>
              <w:fldChar w:fldCharType="end"/>
            </w:r>
          </w:hyperlink>
        </w:p>
        <w:p w14:paraId="472E1384" w14:textId="3EB84A5A"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29" w:history="1">
            <w:r w:rsidR="00683B56" w:rsidRPr="003C3D18">
              <w:rPr>
                <w:rStyle w:val="Lienhypertexte"/>
                <w:noProof/>
              </w:rPr>
              <w:t>Article 7-1 Résiliation du marché</w:t>
            </w:r>
            <w:r w:rsidR="00683B56">
              <w:rPr>
                <w:noProof/>
                <w:webHidden/>
              </w:rPr>
              <w:tab/>
            </w:r>
            <w:r w:rsidR="00683B56">
              <w:rPr>
                <w:noProof/>
                <w:webHidden/>
              </w:rPr>
              <w:fldChar w:fldCharType="begin"/>
            </w:r>
            <w:r w:rsidR="00683B56">
              <w:rPr>
                <w:noProof/>
                <w:webHidden/>
              </w:rPr>
              <w:instrText xml:space="preserve"> PAGEREF _Toc513628529 \h </w:instrText>
            </w:r>
            <w:r w:rsidR="00683B56">
              <w:rPr>
                <w:noProof/>
                <w:webHidden/>
              </w:rPr>
            </w:r>
            <w:r w:rsidR="00683B56">
              <w:rPr>
                <w:noProof/>
                <w:webHidden/>
              </w:rPr>
              <w:fldChar w:fldCharType="separate"/>
            </w:r>
            <w:r w:rsidR="00F80A97">
              <w:rPr>
                <w:noProof/>
                <w:webHidden/>
              </w:rPr>
              <w:t>31</w:t>
            </w:r>
            <w:r w:rsidR="00683B56">
              <w:rPr>
                <w:noProof/>
                <w:webHidden/>
              </w:rPr>
              <w:fldChar w:fldCharType="end"/>
            </w:r>
          </w:hyperlink>
        </w:p>
        <w:p w14:paraId="4DAF78D5" w14:textId="5D8BCB4E"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30" w:history="1">
            <w:r w:rsidR="00683B56" w:rsidRPr="003C3D18">
              <w:rPr>
                <w:rStyle w:val="Lienhypertexte"/>
                <w:noProof/>
              </w:rPr>
              <w:t>7-2 Clauses diverses</w:t>
            </w:r>
            <w:r w:rsidR="00683B56">
              <w:rPr>
                <w:noProof/>
                <w:webHidden/>
              </w:rPr>
              <w:tab/>
            </w:r>
            <w:r w:rsidR="00683B56">
              <w:rPr>
                <w:noProof/>
                <w:webHidden/>
              </w:rPr>
              <w:fldChar w:fldCharType="begin"/>
            </w:r>
            <w:r w:rsidR="00683B56">
              <w:rPr>
                <w:noProof/>
                <w:webHidden/>
              </w:rPr>
              <w:instrText xml:space="preserve"> PAGEREF _Toc513628530 \h </w:instrText>
            </w:r>
            <w:r w:rsidR="00683B56">
              <w:rPr>
                <w:noProof/>
                <w:webHidden/>
              </w:rPr>
            </w:r>
            <w:r w:rsidR="00683B56">
              <w:rPr>
                <w:noProof/>
                <w:webHidden/>
              </w:rPr>
              <w:fldChar w:fldCharType="separate"/>
            </w:r>
            <w:r w:rsidR="00F80A97">
              <w:rPr>
                <w:noProof/>
                <w:webHidden/>
              </w:rPr>
              <w:t>32</w:t>
            </w:r>
            <w:r w:rsidR="00683B56">
              <w:rPr>
                <w:noProof/>
                <w:webHidden/>
              </w:rPr>
              <w:fldChar w:fldCharType="end"/>
            </w:r>
          </w:hyperlink>
        </w:p>
        <w:p w14:paraId="5FBB60F6" w14:textId="36D2B5B9"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31" w:history="1">
            <w:r w:rsidR="00683B56" w:rsidRPr="003C3D18">
              <w:rPr>
                <w:rStyle w:val="Lienhypertexte"/>
                <w:noProof/>
              </w:rPr>
              <w:t>Article 7-3 Clauses complémentaires</w:t>
            </w:r>
            <w:r w:rsidR="00683B56">
              <w:rPr>
                <w:noProof/>
                <w:webHidden/>
              </w:rPr>
              <w:tab/>
            </w:r>
            <w:r w:rsidR="00683B56">
              <w:rPr>
                <w:noProof/>
                <w:webHidden/>
              </w:rPr>
              <w:fldChar w:fldCharType="begin"/>
            </w:r>
            <w:r w:rsidR="00683B56">
              <w:rPr>
                <w:noProof/>
                <w:webHidden/>
              </w:rPr>
              <w:instrText xml:space="preserve"> PAGEREF _Toc513628531 \h </w:instrText>
            </w:r>
            <w:r w:rsidR="00683B56">
              <w:rPr>
                <w:noProof/>
                <w:webHidden/>
              </w:rPr>
            </w:r>
            <w:r w:rsidR="00683B56">
              <w:rPr>
                <w:noProof/>
                <w:webHidden/>
              </w:rPr>
              <w:fldChar w:fldCharType="separate"/>
            </w:r>
            <w:r w:rsidR="00F80A97">
              <w:rPr>
                <w:noProof/>
                <w:webHidden/>
              </w:rPr>
              <w:t>34</w:t>
            </w:r>
            <w:r w:rsidR="00683B56">
              <w:rPr>
                <w:noProof/>
                <w:webHidden/>
              </w:rPr>
              <w:fldChar w:fldCharType="end"/>
            </w:r>
          </w:hyperlink>
        </w:p>
        <w:p w14:paraId="3283B88D" w14:textId="24A3A28D" w:rsidR="00683B56" w:rsidRDefault="00B36A93">
          <w:pPr>
            <w:pStyle w:val="TM2"/>
            <w:tabs>
              <w:tab w:val="right" w:leader="dot" w:pos="10332"/>
            </w:tabs>
            <w:rPr>
              <w:rFonts w:asciiTheme="minorHAnsi" w:eastAsiaTheme="minorEastAsia" w:hAnsiTheme="minorHAnsi" w:cstheme="minorBidi"/>
              <w:noProof/>
              <w:color w:val="auto"/>
              <w:sz w:val="22"/>
            </w:rPr>
          </w:pPr>
          <w:hyperlink w:anchor="_Toc513628532" w:history="1">
            <w:r w:rsidR="00683B56" w:rsidRPr="003C3D18">
              <w:rPr>
                <w:rStyle w:val="Lienhypertexte"/>
                <w:noProof/>
              </w:rPr>
              <w:t>Article 7-4 Dérogations au C.C.A.G. Prestations Intellectuelles</w:t>
            </w:r>
            <w:r w:rsidR="00683B56">
              <w:rPr>
                <w:noProof/>
                <w:webHidden/>
              </w:rPr>
              <w:tab/>
            </w:r>
            <w:r w:rsidR="00683B56">
              <w:rPr>
                <w:noProof/>
                <w:webHidden/>
              </w:rPr>
              <w:fldChar w:fldCharType="begin"/>
            </w:r>
            <w:r w:rsidR="00683B56">
              <w:rPr>
                <w:noProof/>
                <w:webHidden/>
              </w:rPr>
              <w:instrText xml:space="preserve"> PAGEREF _Toc513628532 \h </w:instrText>
            </w:r>
            <w:r w:rsidR="00683B56">
              <w:rPr>
                <w:noProof/>
                <w:webHidden/>
              </w:rPr>
            </w:r>
            <w:r w:rsidR="00683B56">
              <w:rPr>
                <w:noProof/>
                <w:webHidden/>
              </w:rPr>
              <w:fldChar w:fldCharType="separate"/>
            </w:r>
            <w:r w:rsidR="00F80A97">
              <w:rPr>
                <w:noProof/>
                <w:webHidden/>
              </w:rPr>
              <w:t>35</w:t>
            </w:r>
            <w:r w:rsidR="00683B56">
              <w:rPr>
                <w:noProof/>
                <w:webHidden/>
              </w:rPr>
              <w:fldChar w:fldCharType="end"/>
            </w:r>
          </w:hyperlink>
        </w:p>
        <w:p w14:paraId="407FAFA4" w14:textId="3C653532" w:rsidR="00A8538E" w:rsidRDefault="00A6768D">
          <w:r>
            <w:fldChar w:fldCharType="end"/>
          </w:r>
        </w:p>
      </w:sdtContent>
    </w:sdt>
    <w:p w14:paraId="7D821026" w14:textId="77777777" w:rsidR="00A8538E" w:rsidRDefault="00A6768D">
      <w:pPr>
        <w:spacing w:after="0" w:line="259" w:lineRule="auto"/>
        <w:ind w:left="0" w:right="0" w:firstLine="0"/>
        <w:jc w:val="left"/>
      </w:pPr>
      <w:r>
        <w:rPr>
          <w:b/>
        </w:rPr>
        <w:t xml:space="preserve"> </w:t>
      </w:r>
    </w:p>
    <w:p w14:paraId="01B27F63" w14:textId="77777777" w:rsidR="001B5641" w:rsidRDefault="001B5641">
      <w:pPr>
        <w:spacing w:line="249" w:lineRule="auto"/>
        <w:ind w:left="-5" w:right="0"/>
        <w:jc w:val="left"/>
        <w:rPr>
          <w:b/>
          <w:u w:val="single" w:color="000000"/>
        </w:rPr>
      </w:pPr>
    </w:p>
    <w:p w14:paraId="1254FC2C" w14:textId="6051EB08" w:rsidR="00A8538E" w:rsidRDefault="00A8538E">
      <w:pPr>
        <w:spacing w:after="0" w:line="259" w:lineRule="auto"/>
        <w:ind w:left="0" w:right="0" w:firstLine="0"/>
        <w:jc w:val="left"/>
      </w:pPr>
    </w:p>
    <w:p w14:paraId="0413C619" w14:textId="77777777" w:rsidR="00F80A97" w:rsidRDefault="00F80A97">
      <w:pPr>
        <w:pStyle w:val="Titre1"/>
        <w:ind w:left="-5"/>
      </w:pPr>
      <w:bookmarkStart w:id="0" w:name="_Toc513628488"/>
    </w:p>
    <w:p w14:paraId="68F291A7" w14:textId="77777777" w:rsidR="00F80A97" w:rsidRDefault="00F80A97">
      <w:pPr>
        <w:pStyle w:val="Titre1"/>
        <w:ind w:left="-5"/>
      </w:pPr>
    </w:p>
    <w:p w14:paraId="43DCAC4B" w14:textId="77777777" w:rsidR="00F80A97" w:rsidRDefault="00F80A97">
      <w:pPr>
        <w:pStyle w:val="Titre1"/>
        <w:ind w:left="-5"/>
      </w:pPr>
    </w:p>
    <w:p w14:paraId="0BDB974A" w14:textId="77777777" w:rsidR="00F80A97" w:rsidRDefault="00F80A97">
      <w:pPr>
        <w:pStyle w:val="Titre1"/>
        <w:ind w:left="-5"/>
      </w:pPr>
    </w:p>
    <w:p w14:paraId="14402DD6" w14:textId="77777777" w:rsidR="00F80A97" w:rsidRDefault="00F80A97">
      <w:pPr>
        <w:pStyle w:val="Titre1"/>
        <w:ind w:left="-5"/>
      </w:pPr>
    </w:p>
    <w:p w14:paraId="7958BCD8" w14:textId="77777777" w:rsidR="00F80A97" w:rsidRDefault="00F80A97">
      <w:pPr>
        <w:pStyle w:val="Titre1"/>
        <w:ind w:left="-5"/>
      </w:pPr>
    </w:p>
    <w:p w14:paraId="615AEE63" w14:textId="7D2B1886" w:rsidR="00A8538E" w:rsidRDefault="00A6768D">
      <w:pPr>
        <w:pStyle w:val="Titre1"/>
        <w:ind w:left="-5"/>
      </w:pPr>
      <w:r>
        <w:t>Article 1 : Objet du marché</w:t>
      </w:r>
      <w:bookmarkEnd w:id="0"/>
      <w:r>
        <w:t xml:space="preserve"> </w:t>
      </w:r>
    </w:p>
    <w:p w14:paraId="787833F6" w14:textId="77777777" w:rsidR="00A8538E" w:rsidRDefault="00A6768D">
      <w:pPr>
        <w:spacing w:after="0" w:line="259" w:lineRule="auto"/>
        <w:ind w:left="0" w:right="0" w:firstLine="0"/>
        <w:jc w:val="left"/>
      </w:pPr>
      <w:r>
        <w:rPr>
          <w:sz w:val="24"/>
        </w:rPr>
        <w:t xml:space="preserve"> </w:t>
      </w:r>
    </w:p>
    <w:p w14:paraId="366E6911" w14:textId="77777777" w:rsidR="00A8538E" w:rsidRDefault="00A6768D">
      <w:pPr>
        <w:pStyle w:val="Titre2"/>
        <w:ind w:left="-5"/>
      </w:pPr>
      <w:bookmarkStart w:id="1" w:name="_Toc513628489"/>
      <w:r>
        <w:t>Article 1-1 Objet du marché et dispositions générales</w:t>
      </w:r>
      <w:bookmarkEnd w:id="1"/>
      <w:r>
        <w:rPr>
          <w:u w:val="none"/>
        </w:rPr>
        <w:t xml:space="preserve"> </w:t>
      </w:r>
    </w:p>
    <w:p w14:paraId="44C17F07" w14:textId="77777777" w:rsidR="00A8538E" w:rsidRDefault="00A6768D">
      <w:pPr>
        <w:spacing w:after="28" w:line="259" w:lineRule="auto"/>
        <w:ind w:left="0" w:right="0" w:firstLine="0"/>
        <w:jc w:val="left"/>
      </w:pPr>
      <w:r>
        <w:rPr>
          <w:sz w:val="20"/>
        </w:rPr>
        <w:t xml:space="preserve"> </w:t>
      </w:r>
    </w:p>
    <w:p w14:paraId="4E32FED1" w14:textId="41B28838" w:rsidR="00A8538E" w:rsidRDefault="00A6768D">
      <w:pPr>
        <w:spacing w:after="224"/>
        <w:ind w:left="-5" w:right="0"/>
      </w:pPr>
      <w:r>
        <w:t>La consultation concerne la réalisation d’un marché de maîtrise d’œuvre pour les travaux connexes à l’aménagement foncier, agricole et forestier lié à la réalisation de la L</w:t>
      </w:r>
      <w:r w:rsidR="001B5641">
        <w:t xml:space="preserve">GV </w:t>
      </w:r>
      <w:r w:rsidR="00326AE9">
        <w:t xml:space="preserve">Méditerranée </w:t>
      </w:r>
      <w:r>
        <w:t xml:space="preserve">sur les communes de </w:t>
      </w:r>
      <w:r w:rsidR="00326AE9">
        <w:t>Caderousse, Mornas, Orange et Piolenc</w:t>
      </w:r>
      <w:r w:rsidR="001B5641">
        <w:t xml:space="preserve"> et l’AFAFAF</w:t>
      </w:r>
      <w:r>
        <w:t xml:space="preserve"> dans le département de </w:t>
      </w:r>
      <w:r w:rsidR="00326AE9">
        <w:t>Vaucluse</w:t>
      </w:r>
      <w:r>
        <w:t xml:space="preserve">. </w:t>
      </w:r>
    </w:p>
    <w:p w14:paraId="15667883" w14:textId="79209EE9" w:rsidR="00A8538E" w:rsidRDefault="00A6768D">
      <w:pPr>
        <w:ind w:left="-5" w:right="0"/>
      </w:pPr>
      <w:r>
        <w:t>Les maîtres d’ouvrage des travaux connexes, membres du groupement sont donc : l</w:t>
      </w:r>
      <w:r w:rsidR="00326AE9">
        <w:t>es</w:t>
      </w:r>
      <w:r>
        <w:t xml:space="preserve"> commune</w:t>
      </w:r>
      <w:r w:rsidR="00326AE9">
        <w:t>s</w:t>
      </w:r>
      <w:r>
        <w:t xml:space="preserve"> de </w:t>
      </w:r>
      <w:r w:rsidR="00326AE9">
        <w:t>Caderousse, Mornas, Orange et Piolenc sur leurs territoires respectifs</w:t>
      </w:r>
      <w:r>
        <w:t xml:space="preserve"> </w:t>
      </w:r>
      <w:r w:rsidR="001B5641">
        <w:t>et l’AFAFAF</w:t>
      </w:r>
    </w:p>
    <w:p w14:paraId="1729F23D" w14:textId="77777777" w:rsidR="00A8538E" w:rsidRDefault="00A6768D">
      <w:pPr>
        <w:spacing w:after="0" w:line="259" w:lineRule="auto"/>
        <w:ind w:left="0" w:right="0" w:firstLine="0"/>
        <w:jc w:val="left"/>
      </w:pPr>
      <w:r>
        <w:t xml:space="preserve"> </w:t>
      </w:r>
    </w:p>
    <w:p w14:paraId="3F3ECDED" w14:textId="77777777" w:rsidR="00A8538E" w:rsidRDefault="00A6768D">
      <w:pPr>
        <w:ind w:left="-5" w:right="0"/>
      </w:pPr>
      <w:r>
        <w:t xml:space="preserve">Le dossier fourni est au stade </w:t>
      </w:r>
      <w:r>
        <w:rPr>
          <w:u w:val="single" w:color="000000"/>
        </w:rPr>
        <w:t>Avant-Projet</w:t>
      </w:r>
      <w:r>
        <w:t xml:space="preserve"> (AVP). </w:t>
      </w:r>
    </w:p>
    <w:p w14:paraId="676EC6AD" w14:textId="77777777" w:rsidR="00A8538E" w:rsidRDefault="00A6768D">
      <w:pPr>
        <w:spacing w:after="0" w:line="259" w:lineRule="auto"/>
        <w:ind w:left="708" w:right="0" w:firstLine="0"/>
        <w:jc w:val="left"/>
      </w:pPr>
      <w:r>
        <w:t xml:space="preserve"> </w:t>
      </w:r>
    </w:p>
    <w:p w14:paraId="1FC8C2ED" w14:textId="77777777" w:rsidR="00A8538E" w:rsidRDefault="00A6768D">
      <w:pPr>
        <w:ind w:left="718" w:right="0"/>
      </w:pPr>
      <w:r>
        <w:t xml:space="preserve">La référence à la nomenclature européenne (CPV) est la suivante :  </w:t>
      </w:r>
    </w:p>
    <w:p w14:paraId="73EABD09" w14:textId="77777777" w:rsidR="00A8538E" w:rsidRDefault="00A6768D">
      <w:pPr>
        <w:spacing w:after="27" w:line="259" w:lineRule="auto"/>
        <w:ind w:left="0" w:right="0" w:firstLine="0"/>
        <w:jc w:val="left"/>
      </w:pPr>
      <w:r>
        <w:rPr>
          <w:sz w:val="20"/>
        </w:rPr>
        <w:t xml:space="preserve"> </w:t>
      </w:r>
    </w:p>
    <w:p w14:paraId="0F62F24A" w14:textId="77777777" w:rsidR="00A8538E" w:rsidRDefault="00A6768D">
      <w:pPr>
        <w:tabs>
          <w:tab w:val="center" w:pos="397"/>
          <w:tab w:val="center" w:pos="4609"/>
        </w:tabs>
        <w:ind w:left="0" w:right="0" w:firstLine="0"/>
        <w:jc w:val="left"/>
      </w:pPr>
      <w:r>
        <w:rPr>
          <w:rFonts w:ascii="Calibri" w:eastAsia="Calibri" w:hAnsi="Calibri" w:cs="Calibri"/>
        </w:rPr>
        <w:tab/>
      </w:r>
      <w:r>
        <w:t xml:space="preserve">- </w:t>
      </w:r>
      <w:r>
        <w:tab/>
        <w:t xml:space="preserve">Objet principal 71250000-5 : Services d’architecture, d’ingénierie et de métrage. </w:t>
      </w:r>
    </w:p>
    <w:p w14:paraId="61F5C9A3" w14:textId="77777777" w:rsidR="00A8538E" w:rsidRDefault="00A6768D">
      <w:pPr>
        <w:spacing w:after="0" w:line="259" w:lineRule="auto"/>
        <w:ind w:left="0" w:right="0" w:firstLine="0"/>
        <w:jc w:val="left"/>
      </w:pPr>
      <w:r>
        <w:t xml:space="preserve"> </w:t>
      </w:r>
    </w:p>
    <w:p w14:paraId="2D455A5E" w14:textId="77777777" w:rsidR="00A8538E" w:rsidRDefault="00A6768D">
      <w:pPr>
        <w:spacing w:after="1" w:line="262" w:lineRule="auto"/>
        <w:ind w:left="-5" w:right="0"/>
        <w:jc w:val="left"/>
      </w:pPr>
      <w:r>
        <w:rPr>
          <w:b/>
        </w:rPr>
        <w:t xml:space="preserve">Le présent cahier des clauses particulières (CCP) est commun aux marchés qui seront signés par chaque maître d’ouvrage des travaux connexes pour leurs besoins propres. </w:t>
      </w:r>
    </w:p>
    <w:p w14:paraId="58A88E0E" w14:textId="77777777" w:rsidR="00A8538E" w:rsidRDefault="00A6768D">
      <w:pPr>
        <w:spacing w:after="0" w:line="259" w:lineRule="auto"/>
        <w:ind w:left="0" w:right="0" w:firstLine="0"/>
        <w:jc w:val="left"/>
      </w:pPr>
      <w:r>
        <w:t xml:space="preserve"> </w:t>
      </w:r>
    </w:p>
    <w:p w14:paraId="555E9AFB" w14:textId="23F9582F" w:rsidR="00A8538E" w:rsidRDefault="00A6768D">
      <w:pPr>
        <w:ind w:left="-5" w:right="0"/>
      </w:pPr>
      <w:r>
        <w:t xml:space="preserve">La part affectée aux travaux dans l’enveloppe financière de l’opération arrêtée par l’ensemble des maîtres d’ouvrage des travaux connexes est </w:t>
      </w:r>
      <w:r w:rsidRPr="009635C0">
        <w:rPr>
          <w:b/>
          <w:color w:val="auto"/>
        </w:rPr>
        <w:t>estimée</w:t>
      </w:r>
      <w:r>
        <w:t xml:space="preserve"> à </w:t>
      </w:r>
      <w:r w:rsidR="00326AE9">
        <w:t>5</w:t>
      </w:r>
      <w:r w:rsidR="00736B02">
        <w:t>32 498.55</w:t>
      </w:r>
      <w:r w:rsidR="00326AE9">
        <w:t xml:space="preserve"> euros </w:t>
      </w:r>
      <w:r w:rsidR="00736B02">
        <w:t>HT</w:t>
      </w:r>
      <w:r>
        <w:t xml:space="preserve"> </w:t>
      </w:r>
    </w:p>
    <w:p w14:paraId="296C7E9B" w14:textId="77777777" w:rsidR="00A8538E" w:rsidRDefault="00A6768D">
      <w:pPr>
        <w:spacing w:after="0" w:line="259" w:lineRule="auto"/>
        <w:ind w:left="0" w:right="0" w:firstLine="0"/>
        <w:jc w:val="left"/>
      </w:pPr>
      <w:r>
        <w:t xml:space="preserve"> </w:t>
      </w:r>
    </w:p>
    <w:p w14:paraId="1314D3D4" w14:textId="77777777" w:rsidR="00F80A97" w:rsidRDefault="00A6768D" w:rsidP="00F80A97">
      <w:pPr>
        <w:ind w:left="-5" w:right="0"/>
      </w:pPr>
      <w:r>
        <w:t xml:space="preserve">La décomposition du montant </w:t>
      </w:r>
      <w:r w:rsidR="009635C0">
        <w:t xml:space="preserve">estimé </w:t>
      </w:r>
      <w:r>
        <w:t xml:space="preserve">des travaux connexes par maître d’ouvrage est la suivante :  Commune de </w:t>
      </w:r>
      <w:r w:rsidR="00326AE9">
        <w:t>Caderousse</w:t>
      </w:r>
      <w:r>
        <w:t xml:space="preserve"> : </w:t>
      </w:r>
      <w:r w:rsidR="008C5732">
        <w:t xml:space="preserve">209 354.40 </w:t>
      </w:r>
      <w:r>
        <w:t xml:space="preserve">euros H.T. </w:t>
      </w:r>
    </w:p>
    <w:p w14:paraId="5B063402" w14:textId="77777777" w:rsidR="00F80A97" w:rsidRDefault="00F80A97" w:rsidP="00F80A97">
      <w:pPr>
        <w:ind w:left="-5" w:right="0"/>
        <w:sectPr w:rsidR="00F80A97">
          <w:headerReference w:type="even" r:id="rId7"/>
          <w:headerReference w:type="default" r:id="rId8"/>
          <w:footerReference w:type="even" r:id="rId9"/>
          <w:footerReference w:type="default" r:id="rId10"/>
          <w:headerReference w:type="first" r:id="rId11"/>
          <w:footerReference w:type="first" r:id="rId12"/>
          <w:pgSz w:w="11899" w:h="16841"/>
          <w:pgMar w:top="856" w:right="705" w:bottom="6814" w:left="852" w:header="720" w:footer="714" w:gutter="0"/>
          <w:cols w:space="720"/>
        </w:sectPr>
      </w:pPr>
    </w:p>
    <w:p w14:paraId="3EB2C19A" w14:textId="77777777" w:rsidR="00F80A97" w:rsidRDefault="00F80A97" w:rsidP="00F80A97">
      <w:pPr>
        <w:ind w:left="-5" w:right="0"/>
        <w:sectPr w:rsidR="00F80A97" w:rsidSect="00F80A97">
          <w:type w:val="continuous"/>
          <w:pgSz w:w="11899" w:h="16841"/>
          <w:pgMar w:top="856" w:right="705" w:bottom="6814" w:left="852" w:header="720" w:footer="714" w:gutter="0"/>
          <w:cols w:space="720"/>
        </w:sectPr>
      </w:pPr>
    </w:p>
    <w:p w14:paraId="38C9C0DE" w14:textId="1806247E" w:rsidR="00A8538E" w:rsidRDefault="00A6768D" w:rsidP="00F80A97">
      <w:pPr>
        <w:ind w:left="-5" w:right="0"/>
      </w:pPr>
      <w:r>
        <w:lastRenderedPageBreak/>
        <w:t xml:space="preserve">Commune de </w:t>
      </w:r>
      <w:r w:rsidR="00326AE9">
        <w:t>Mornas</w:t>
      </w:r>
      <w:r>
        <w:t xml:space="preserve"> : </w:t>
      </w:r>
      <w:r w:rsidR="008C5732">
        <w:t xml:space="preserve">82 162.33 </w:t>
      </w:r>
      <w:r>
        <w:t xml:space="preserve">Euros H.T. </w:t>
      </w:r>
    </w:p>
    <w:p w14:paraId="2EF8DC9E" w14:textId="77777777" w:rsidR="00326AE9" w:rsidRDefault="00326AE9">
      <w:pPr>
        <w:ind w:left="-5" w:right="1867"/>
      </w:pPr>
      <w:r>
        <w:t xml:space="preserve">Commune d’Orange : </w:t>
      </w:r>
      <w:r w:rsidR="008C5732">
        <w:t xml:space="preserve">70 329.40 </w:t>
      </w:r>
      <w:r>
        <w:t>Euros HT</w:t>
      </w:r>
    </w:p>
    <w:p w14:paraId="1C345651" w14:textId="77777777" w:rsidR="00326AE9" w:rsidRDefault="00326AE9">
      <w:pPr>
        <w:ind w:left="-5" w:right="1867"/>
      </w:pPr>
      <w:r>
        <w:t xml:space="preserve">Commune de Piolenc : </w:t>
      </w:r>
      <w:r w:rsidR="008C5732">
        <w:t xml:space="preserve">133 998.35 </w:t>
      </w:r>
      <w:r>
        <w:t>euros HT</w:t>
      </w:r>
    </w:p>
    <w:p w14:paraId="1EE02EC1" w14:textId="737D574A" w:rsidR="001B5641" w:rsidRDefault="001B5641">
      <w:pPr>
        <w:ind w:left="-5" w:right="1867"/>
      </w:pPr>
      <w:r>
        <w:t xml:space="preserve">AFAFAF : </w:t>
      </w:r>
      <w:r w:rsidR="008C5732">
        <w:t xml:space="preserve">36 654.07 </w:t>
      </w:r>
      <w:r>
        <w:t>euros HT</w:t>
      </w:r>
    </w:p>
    <w:p w14:paraId="196E66FA" w14:textId="77777777" w:rsidR="00A8538E" w:rsidRDefault="00A6768D">
      <w:pPr>
        <w:spacing w:after="0" w:line="259" w:lineRule="auto"/>
        <w:ind w:left="0" w:right="0" w:firstLine="0"/>
        <w:jc w:val="left"/>
      </w:pPr>
      <w:r>
        <w:t xml:space="preserve"> </w:t>
      </w:r>
    </w:p>
    <w:p w14:paraId="3B713586" w14:textId="77777777" w:rsidR="00A8538E" w:rsidRDefault="00A6768D">
      <w:pPr>
        <w:pStyle w:val="Titre2"/>
        <w:ind w:left="-5"/>
      </w:pPr>
      <w:bookmarkStart w:id="2" w:name="_Toc513628490"/>
      <w:r>
        <w:t>Article 1-2 Allotissement et variantes</w:t>
      </w:r>
      <w:bookmarkEnd w:id="2"/>
      <w:r>
        <w:rPr>
          <w:u w:val="none"/>
        </w:rPr>
        <w:t xml:space="preserve"> </w:t>
      </w:r>
    </w:p>
    <w:p w14:paraId="011F3212" w14:textId="77777777" w:rsidR="00A8538E" w:rsidRDefault="00A6768D">
      <w:pPr>
        <w:spacing w:after="40" w:line="259" w:lineRule="auto"/>
        <w:ind w:left="0" w:right="0" w:firstLine="0"/>
        <w:jc w:val="left"/>
      </w:pPr>
      <w:r>
        <w:rPr>
          <w:sz w:val="20"/>
        </w:rPr>
        <w:t xml:space="preserve"> </w:t>
      </w:r>
    </w:p>
    <w:p w14:paraId="24D08E98" w14:textId="77777777" w:rsidR="00A8538E" w:rsidRDefault="00A6768D">
      <w:pPr>
        <w:tabs>
          <w:tab w:val="center" w:pos="2409"/>
        </w:tabs>
        <w:ind w:left="-15" w:right="0" w:firstLine="0"/>
        <w:jc w:val="left"/>
      </w:pPr>
      <w:r>
        <w:t xml:space="preserve"> </w:t>
      </w:r>
      <w:r>
        <w:tab/>
        <w:t xml:space="preserve">Le marché n’est pas divisé en lots. </w:t>
      </w:r>
    </w:p>
    <w:p w14:paraId="6FFB1D95" w14:textId="77777777" w:rsidR="00A8538E" w:rsidRDefault="00A6768D">
      <w:pPr>
        <w:spacing w:after="19" w:line="259" w:lineRule="auto"/>
        <w:ind w:left="708" w:right="0" w:firstLine="0"/>
        <w:jc w:val="left"/>
      </w:pPr>
      <w:r>
        <w:rPr>
          <w:sz w:val="18"/>
        </w:rPr>
        <w:t xml:space="preserve"> </w:t>
      </w:r>
    </w:p>
    <w:p w14:paraId="603ED2A7" w14:textId="77777777" w:rsidR="006D3D8C" w:rsidRPr="006D3D8C" w:rsidRDefault="00A6768D" w:rsidP="006D3D8C">
      <w:pPr>
        <w:pStyle w:val="Normal2"/>
        <w:ind w:left="0" w:firstLine="0"/>
        <w:rPr>
          <w:rFonts w:ascii="Arial" w:hAnsi="Arial" w:cs="Arial"/>
          <w:color w:val="FF0000"/>
          <w:sz w:val="24"/>
          <w:szCs w:val="24"/>
        </w:rPr>
      </w:pPr>
      <w:r>
        <w:rPr>
          <w:color w:val="FF0000"/>
        </w:rPr>
        <w:t xml:space="preserve"> </w:t>
      </w:r>
      <w:r>
        <w:rPr>
          <w:color w:val="FF0000"/>
        </w:rPr>
        <w:tab/>
      </w:r>
      <w:r w:rsidR="006D3D8C" w:rsidRPr="005851FE">
        <w:rPr>
          <w:rFonts w:ascii="Arial" w:hAnsi="Arial" w:cs="Arial"/>
          <w:sz w:val="24"/>
          <w:szCs w:val="24"/>
        </w:rPr>
        <w:t xml:space="preserve">En application de l'article 58 du décret n° 2016-360 du 25 mars 2016 relatif aux marchés publics, il est précisé que la personne publique n'autorise pas les variantes dans la présente consultation. </w:t>
      </w:r>
    </w:p>
    <w:p w14:paraId="0FAAC399" w14:textId="7B1142DB" w:rsidR="00A8538E" w:rsidRDefault="00A8538E">
      <w:pPr>
        <w:tabs>
          <w:tab w:val="center" w:pos="2121"/>
        </w:tabs>
        <w:ind w:left="-15" w:right="0" w:firstLine="0"/>
        <w:jc w:val="left"/>
      </w:pPr>
    </w:p>
    <w:p w14:paraId="251E7403" w14:textId="77777777" w:rsidR="00A8538E" w:rsidRDefault="00A6768D">
      <w:pPr>
        <w:spacing w:after="0" w:line="259" w:lineRule="auto"/>
        <w:ind w:left="0" w:right="0" w:firstLine="0"/>
        <w:jc w:val="left"/>
      </w:pPr>
      <w:r>
        <w:rPr>
          <w:b/>
          <w:sz w:val="24"/>
        </w:rPr>
        <w:t xml:space="preserve"> </w:t>
      </w:r>
    </w:p>
    <w:p w14:paraId="1C55701B" w14:textId="77777777" w:rsidR="00A8538E" w:rsidRDefault="00A6768D">
      <w:pPr>
        <w:pStyle w:val="Titre2"/>
        <w:ind w:left="-5"/>
      </w:pPr>
      <w:bookmarkStart w:id="3" w:name="_Toc513628491"/>
      <w:r>
        <w:t>Article 1-3 Contenu des éléments de mission</w:t>
      </w:r>
      <w:bookmarkEnd w:id="3"/>
      <w:r>
        <w:rPr>
          <w:u w:val="none"/>
        </w:rPr>
        <w:t xml:space="preserve"> </w:t>
      </w:r>
    </w:p>
    <w:p w14:paraId="14BA8D8F" w14:textId="77777777" w:rsidR="00A8538E" w:rsidRDefault="00A6768D">
      <w:pPr>
        <w:spacing w:after="0" w:line="259" w:lineRule="auto"/>
        <w:ind w:left="0" w:right="0" w:firstLine="0"/>
        <w:jc w:val="left"/>
      </w:pPr>
      <w:r>
        <w:rPr>
          <w:sz w:val="24"/>
        </w:rPr>
        <w:t xml:space="preserve"> </w:t>
      </w:r>
    </w:p>
    <w:p w14:paraId="53D560F1" w14:textId="77777777" w:rsidR="00A8538E" w:rsidRDefault="00A6768D">
      <w:pPr>
        <w:spacing w:after="0" w:line="259" w:lineRule="auto"/>
        <w:ind w:left="0" w:right="0" w:firstLine="0"/>
        <w:jc w:val="left"/>
      </w:pPr>
      <w:r>
        <w:rPr>
          <w:sz w:val="24"/>
        </w:rPr>
        <w:t xml:space="preserve"> </w:t>
      </w:r>
    </w:p>
    <w:p w14:paraId="3BF4EE05" w14:textId="77777777" w:rsidR="00A8538E" w:rsidRDefault="00A6768D">
      <w:pPr>
        <w:ind w:left="-5" w:right="0"/>
      </w:pPr>
      <w:r>
        <w:t xml:space="preserve">La mission de maîtrise d’œuvre est établie conformément à :  </w:t>
      </w:r>
    </w:p>
    <w:p w14:paraId="3E5C01F2" w14:textId="77777777" w:rsidR="00A8538E" w:rsidRDefault="00A6768D">
      <w:pPr>
        <w:spacing w:after="6" w:line="259" w:lineRule="auto"/>
        <w:ind w:left="0" w:right="0" w:firstLine="0"/>
        <w:jc w:val="left"/>
      </w:pPr>
      <w:r>
        <w:t xml:space="preserve"> </w:t>
      </w:r>
    </w:p>
    <w:p w14:paraId="6AC3695E" w14:textId="31C8410A" w:rsidR="00A8538E" w:rsidRDefault="00A6768D">
      <w:pPr>
        <w:numPr>
          <w:ilvl w:val="0"/>
          <w:numId w:val="1"/>
        </w:numPr>
        <w:ind w:right="0"/>
      </w:pPr>
      <w:r>
        <w:t xml:space="preserve">La loi nº 85-704 du 12 juillet 1985 relative à la maîtrise d’ouvrage publique et à ses rapports avec la maîtrise d’œuvre privée ;  </w:t>
      </w:r>
    </w:p>
    <w:p w14:paraId="65AE2DC9" w14:textId="77777777" w:rsidR="00A8538E" w:rsidRDefault="00A6768D">
      <w:pPr>
        <w:spacing w:line="259" w:lineRule="auto"/>
        <w:ind w:left="0" w:right="0" w:firstLine="0"/>
        <w:jc w:val="left"/>
      </w:pPr>
      <w:r>
        <w:t xml:space="preserve"> </w:t>
      </w:r>
    </w:p>
    <w:p w14:paraId="661F74C6" w14:textId="6A73E72F" w:rsidR="00A8538E" w:rsidRDefault="00A6768D">
      <w:pPr>
        <w:numPr>
          <w:ilvl w:val="0"/>
          <w:numId w:val="1"/>
        </w:numPr>
        <w:ind w:right="0"/>
      </w:pPr>
      <w:r>
        <w:t xml:space="preserve">Le décret nº 93-1268 du 29 novembre 1993 relatif aux missions de maîtrise d’œuvre confiées par des maîtres d’ouvrage publics à des prestataires de droit privé ;  </w:t>
      </w:r>
    </w:p>
    <w:p w14:paraId="5FCFBA54" w14:textId="77777777" w:rsidR="00A8538E" w:rsidRDefault="00A6768D">
      <w:pPr>
        <w:spacing w:after="16" w:line="259" w:lineRule="auto"/>
        <w:ind w:left="0" w:right="0" w:firstLine="0"/>
        <w:jc w:val="left"/>
      </w:pPr>
      <w:r>
        <w:t xml:space="preserve"> </w:t>
      </w:r>
    </w:p>
    <w:p w14:paraId="3F2BFFA8" w14:textId="6903052E" w:rsidR="00A8538E" w:rsidRDefault="00A6768D">
      <w:pPr>
        <w:numPr>
          <w:ilvl w:val="0"/>
          <w:numId w:val="1"/>
        </w:numPr>
        <w:ind w:right="0"/>
      </w:pPr>
      <w:r>
        <w:t xml:space="preserve">L’arrêté du 21 décembre 1993 relatif aux modalités techniques d’exécution des éléments de mission de maîtrise d’œuvre confiés par des maîtres d’ouvrages publics à des prestataires de droit privé.  </w:t>
      </w:r>
    </w:p>
    <w:p w14:paraId="15FBB364" w14:textId="77777777" w:rsidR="00A8538E" w:rsidRDefault="00A6768D">
      <w:pPr>
        <w:spacing w:after="0" w:line="259" w:lineRule="auto"/>
        <w:ind w:left="0" w:right="0" w:firstLine="0"/>
        <w:jc w:val="left"/>
      </w:pPr>
      <w:r>
        <w:t xml:space="preserve"> </w:t>
      </w:r>
    </w:p>
    <w:p w14:paraId="741DB142" w14:textId="77777777" w:rsidR="00A8538E" w:rsidRDefault="00A6768D">
      <w:pPr>
        <w:spacing w:after="0" w:line="259" w:lineRule="auto"/>
        <w:ind w:left="0" w:right="0" w:firstLine="0"/>
        <w:jc w:val="left"/>
      </w:pPr>
      <w:r>
        <w:t xml:space="preserve"> </w:t>
      </w:r>
    </w:p>
    <w:p w14:paraId="32261814" w14:textId="77777777" w:rsidR="00A8538E" w:rsidRDefault="00A6768D">
      <w:pPr>
        <w:ind w:left="-5" w:right="0"/>
      </w:pPr>
      <w:r>
        <w:t xml:space="preserve">Le présent marché est constitué des éléments suivants : </w:t>
      </w:r>
    </w:p>
    <w:p w14:paraId="7A768EB4" w14:textId="77777777" w:rsidR="00A8538E" w:rsidRDefault="00A6768D">
      <w:pPr>
        <w:spacing w:after="0" w:line="259" w:lineRule="auto"/>
        <w:ind w:left="0" w:right="0" w:firstLine="0"/>
        <w:jc w:val="left"/>
      </w:pPr>
      <w:r>
        <w:t xml:space="preserve"> </w:t>
      </w:r>
    </w:p>
    <w:tbl>
      <w:tblPr>
        <w:tblStyle w:val="TableGrid"/>
        <w:tblW w:w="9059" w:type="dxa"/>
        <w:tblInd w:w="640" w:type="dxa"/>
        <w:tblCellMar>
          <w:left w:w="68" w:type="dxa"/>
          <w:right w:w="17" w:type="dxa"/>
        </w:tblCellMar>
        <w:tblLook w:val="04A0" w:firstRow="1" w:lastRow="0" w:firstColumn="1" w:lastColumn="0" w:noHBand="0" w:noVBand="1"/>
      </w:tblPr>
      <w:tblGrid>
        <w:gridCol w:w="2243"/>
        <w:gridCol w:w="4551"/>
        <w:gridCol w:w="2265"/>
      </w:tblGrid>
      <w:tr w:rsidR="00A8538E" w14:paraId="10D48AB8" w14:textId="77777777">
        <w:trPr>
          <w:trHeight w:val="281"/>
        </w:trPr>
        <w:tc>
          <w:tcPr>
            <w:tcW w:w="2243" w:type="dxa"/>
            <w:tcBorders>
              <w:top w:val="single" w:sz="4" w:space="0" w:color="000000"/>
              <w:left w:val="single" w:sz="4" w:space="0" w:color="000000"/>
              <w:bottom w:val="single" w:sz="4" w:space="0" w:color="000000"/>
              <w:right w:val="single" w:sz="4" w:space="0" w:color="000000"/>
            </w:tcBorders>
            <w:shd w:val="clear" w:color="auto" w:fill="B6DDE8"/>
          </w:tcPr>
          <w:p w14:paraId="314D8E9F" w14:textId="77777777" w:rsidR="00A8538E" w:rsidRDefault="00A6768D">
            <w:pPr>
              <w:spacing w:after="0" w:line="259" w:lineRule="auto"/>
              <w:ind w:left="0" w:right="53" w:firstLine="0"/>
              <w:jc w:val="center"/>
            </w:pPr>
            <w:r>
              <w:t xml:space="preserve">Code </w:t>
            </w:r>
          </w:p>
        </w:tc>
        <w:tc>
          <w:tcPr>
            <w:tcW w:w="4551" w:type="dxa"/>
            <w:tcBorders>
              <w:top w:val="single" w:sz="4" w:space="0" w:color="000000"/>
              <w:left w:val="single" w:sz="4" w:space="0" w:color="000000"/>
              <w:bottom w:val="single" w:sz="4" w:space="0" w:color="000000"/>
              <w:right w:val="single" w:sz="4" w:space="0" w:color="000000"/>
            </w:tcBorders>
            <w:shd w:val="clear" w:color="auto" w:fill="B6DDE8"/>
          </w:tcPr>
          <w:p w14:paraId="07652DBA" w14:textId="77777777" w:rsidR="00A8538E" w:rsidRDefault="00A6768D">
            <w:pPr>
              <w:spacing w:after="0" w:line="259" w:lineRule="auto"/>
              <w:ind w:left="0" w:right="49" w:firstLine="0"/>
              <w:jc w:val="center"/>
            </w:pPr>
            <w:r>
              <w:t xml:space="preserve">Désignation </w:t>
            </w:r>
          </w:p>
        </w:tc>
        <w:tc>
          <w:tcPr>
            <w:tcW w:w="2265" w:type="dxa"/>
            <w:tcBorders>
              <w:top w:val="single" w:sz="4" w:space="0" w:color="000000"/>
              <w:left w:val="single" w:sz="4" w:space="0" w:color="000000"/>
              <w:bottom w:val="single" w:sz="4" w:space="0" w:color="000000"/>
              <w:right w:val="single" w:sz="4" w:space="0" w:color="000000"/>
            </w:tcBorders>
            <w:shd w:val="clear" w:color="auto" w:fill="B6DDE8"/>
          </w:tcPr>
          <w:p w14:paraId="4F97E261" w14:textId="77777777" w:rsidR="00A8538E" w:rsidRDefault="00A6768D">
            <w:pPr>
              <w:spacing w:after="0" w:line="259" w:lineRule="auto"/>
              <w:ind w:left="0" w:right="47" w:firstLine="0"/>
              <w:jc w:val="center"/>
            </w:pPr>
            <w:r>
              <w:t xml:space="preserve">Tranche </w:t>
            </w:r>
          </w:p>
        </w:tc>
      </w:tr>
      <w:tr w:rsidR="00A8538E" w14:paraId="1EFA952F" w14:textId="77777777">
        <w:trPr>
          <w:trHeight w:val="357"/>
        </w:trPr>
        <w:tc>
          <w:tcPr>
            <w:tcW w:w="2243" w:type="dxa"/>
            <w:tcBorders>
              <w:top w:val="single" w:sz="4" w:space="0" w:color="000000"/>
              <w:left w:val="single" w:sz="4" w:space="0" w:color="000000"/>
              <w:bottom w:val="single" w:sz="4" w:space="0" w:color="000000"/>
              <w:right w:val="single" w:sz="4" w:space="0" w:color="000000"/>
            </w:tcBorders>
          </w:tcPr>
          <w:p w14:paraId="44DA6266" w14:textId="77777777" w:rsidR="00A8538E" w:rsidRDefault="00A6768D">
            <w:pPr>
              <w:spacing w:after="0" w:line="259" w:lineRule="auto"/>
              <w:ind w:left="0" w:right="54" w:firstLine="0"/>
              <w:jc w:val="center"/>
            </w:pPr>
            <w:r>
              <w:lastRenderedPageBreak/>
              <w:t xml:space="preserve">PRO </w:t>
            </w:r>
          </w:p>
        </w:tc>
        <w:tc>
          <w:tcPr>
            <w:tcW w:w="4551" w:type="dxa"/>
            <w:tcBorders>
              <w:top w:val="single" w:sz="4" w:space="0" w:color="000000"/>
              <w:left w:val="single" w:sz="4" w:space="0" w:color="000000"/>
              <w:bottom w:val="single" w:sz="4" w:space="0" w:color="000000"/>
              <w:right w:val="single" w:sz="4" w:space="0" w:color="000000"/>
            </w:tcBorders>
          </w:tcPr>
          <w:p w14:paraId="08FDCDAE" w14:textId="77777777" w:rsidR="00A8538E" w:rsidRDefault="00A6768D">
            <w:pPr>
              <w:spacing w:after="0" w:line="259" w:lineRule="auto"/>
              <w:ind w:left="1" w:right="0" w:firstLine="0"/>
              <w:jc w:val="left"/>
            </w:pPr>
            <w:r>
              <w:t xml:space="preserve">Études de projet  </w:t>
            </w:r>
          </w:p>
        </w:tc>
        <w:tc>
          <w:tcPr>
            <w:tcW w:w="2265" w:type="dxa"/>
            <w:tcBorders>
              <w:top w:val="single" w:sz="4" w:space="0" w:color="000000"/>
              <w:left w:val="single" w:sz="4" w:space="0" w:color="000000"/>
              <w:bottom w:val="single" w:sz="4" w:space="0" w:color="000000"/>
              <w:right w:val="single" w:sz="4" w:space="0" w:color="000000"/>
            </w:tcBorders>
          </w:tcPr>
          <w:p w14:paraId="0BC851E6" w14:textId="77777777" w:rsidR="00A8538E" w:rsidRDefault="00A6768D">
            <w:pPr>
              <w:spacing w:after="0" w:line="259" w:lineRule="auto"/>
              <w:ind w:left="1" w:right="0" w:firstLine="0"/>
              <w:jc w:val="left"/>
            </w:pPr>
            <w:r>
              <w:t xml:space="preserve">Ferme </w:t>
            </w:r>
          </w:p>
        </w:tc>
      </w:tr>
      <w:tr w:rsidR="00A8538E" w14:paraId="0735AD36" w14:textId="77777777">
        <w:trPr>
          <w:trHeight w:val="511"/>
        </w:trPr>
        <w:tc>
          <w:tcPr>
            <w:tcW w:w="2243" w:type="dxa"/>
            <w:vMerge w:val="restart"/>
            <w:tcBorders>
              <w:top w:val="single" w:sz="4" w:space="0" w:color="000000"/>
              <w:left w:val="single" w:sz="4" w:space="0" w:color="000000"/>
              <w:bottom w:val="single" w:sz="4" w:space="0" w:color="000000"/>
              <w:right w:val="single" w:sz="4" w:space="0" w:color="000000"/>
            </w:tcBorders>
            <w:vAlign w:val="center"/>
          </w:tcPr>
          <w:p w14:paraId="0E3A017F" w14:textId="77777777" w:rsidR="00A8538E" w:rsidRDefault="00A6768D">
            <w:pPr>
              <w:spacing w:after="0" w:line="259" w:lineRule="auto"/>
              <w:ind w:left="0" w:right="52" w:firstLine="0"/>
              <w:jc w:val="center"/>
            </w:pPr>
            <w:r>
              <w:t xml:space="preserve">ACT </w:t>
            </w:r>
          </w:p>
        </w:tc>
        <w:tc>
          <w:tcPr>
            <w:tcW w:w="4551" w:type="dxa"/>
            <w:tcBorders>
              <w:top w:val="single" w:sz="4" w:space="0" w:color="000000"/>
              <w:left w:val="single" w:sz="4" w:space="0" w:color="000000"/>
              <w:bottom w:val="single" w:sz="4" w:space="0" w:color="000000"/>
              <w:right w:val="single" w:sz="4" w:space="0" w:color="000000"/>
            </w:tcBorders>
            <w:vAlign w:val="center"/>
          </w:tcPr>
          <w:p w14:paraId="62581B4F" w14:textId="77777777" w:rsidR="00A8538E" w:rsidRDefault="00A6768D">
            <w:pPr>
              <w:spacing w:after="0" w:line="259" w:lineRule="auto"/>
              <w:ind w:left="1" w:right="0" w:firstLine="0"/>
              <w:jc w:val="left"/>
            </w:pPr>
            <w:r>
              <w:t xml:space="preserve">Dossier de consultation </w:t>
            </w:r>
          </w:p>
        </w:tc>
        <w:tc>
          <w:tcPr>
            <w:tcW w:w="2265" w:type="dxa"/>
            <w:tcBorders>
              <w:top w:val="single" w:sz="4" w:space="0" w:color="000000"/>
              <w:left w:val="single" w:sz="4" w:space="0" w:color="000000"/>
              <w:bottom w:val="single" w:sz="4" w:space="0" w:color="000000"/>
              <w:right w:val="single" w:sz="4" w:space="0" w:color="000000"/>
            </w:tcBorders>
            <w:vAlign w:val="center"/>
          </w:tcPr>
          <w:p w14:paraId="691C8C0D" w14:textId="77777777" w:rsidR="00A8538E" w:rsidRDefault="00A6768D">
            <w:pPr>
              <w:spacing w:after="0" w:line="259" w:lineRule="auto"/>
              <w:ind w:left="1" w:right="0" w:firstLine="0"/>
              <w:jc w:val="left"/>
            </w:pPr>
            <w:r>
              <w:t xml:space="preserve">Ferme </w:t>
            </w:r>
          </w:p>
        </w:tc>
      </w:tr>
      <w:tr w:rsidR="00A8538E" w14:paraId="0EE90524" w14:textId="77777777">
        <w:trPr>
          <w:trHeight w:val="420"/>
        </w:trPr>
        <w:tc>
          <w:tcPr>
            <w:tcW w:w="0" w:type="auto"/>
            <w:vMerge/>
            <w:tcBorders>
              <w:top w:val="nil"/>
              <w:left w:val="single" w:sz="4" w:space="0" w:color="000000"/>
              <w:bottom w:val="single" w:sz="4" w:space="0" w:color="000000"/>
              <w:right w:val="single" w:sz="4" w:space="0" w:color="000000"/>
            </w:tcBorders>
          </w:tcPr>
          <w:p w14:paraId="3142A5F8" w14:textId="77777777" w:rsidR="00A8538E" w:rsidRDefault="00A8538E">
            <w:pPr>
              <w:spacing w:after="160" w:line="259" w:lineRule="auto"/>
              <w:ind w:left="0" w:right="0" w:firstLine="0"/>
              <w:jc w:val="left"/>
            </w:pPr>
          </w:p>
        </w:tc>
        <w:tc>
          <w:tcPr>
            <w:tcW w:w="4551" w:type="dxa"/>
            <w:tcBorders>
              <w:top w:val="single" w:sz="4" w:space="0" w:color="000000"/>
              <w:left w:val="single" w:sz="4" w:space="0" w:color="000000"/>
              <w:bottom w:val="single" w:sz="4" w:space="0" w:color="000000"/>
              <w:right w:val="single" w:sz="4" w:space="0" w:color="000000"/>
            </w:tcBorders>
          </w:tcPr>
          <w:p w14:paraId="64E5DB28" w14:textId="77777777" w:rsidR="00A8538E" w:rsidRDefault="00A6768D">
            <w:pPr>
              <w:spacing w:after="0" w:line="259" w:lineRule="auto"/>
              <w:ind w:left="1" w:right="0" w:firstLine="0"/>
              <w:jc w:val="left"/>
            </w:pPr>
            <w:r>
              <w:t xml:space="preserve">Analyse des offres </w:t>
            </w:r>
          </w:p>
        </w:tc>
        <w:tc>
          <w:tcPr>
            <w:tcW w:w="2265" w:type="dxa"/>
            <w:tcBorders>
              <w:top w:val="single" w:sz="4" w:space="0" w:color="000000"/>
              <w:left w:val="single" w:sz="4" w:space="0" w:color="000000"/>
              <w:bottom w:val="single" w:sz="4" w:space="0" w:color="000000"/>
              <w:right w:val="single" w:sz="4" w:space="0" w:color="000000"/>
            </w:tcBorders>
          </w:tcPr>
          <w:p w14:paraId="611572FC" w14:textId="77777777" w:rsidR="00A8538E" w:rsidRDefault="00A6768D">
            <w:pPr>
              <w:spacing w:after="0" w:line="259" w:lineRule="auto"/>
              <w:ind w:left="1" w:right="0" w:firstLine="0"/>
              <w:jc w:val="left"/>
            </w:pPr>
            <w:r>
              <w:t xml:space="preserve">Ferme </w:t>
            </w:r>
          </w:p>
        </w:tc>
      </w:tr>
      <w:tr w:rsidR="00A8538E" w14:paraId="78D2A876" w14:textId="77777777">
        <w:trPr>
          <w:trHeight w:val="648"/>
        </w:trPr>
        <w:tc>
          <w:tcPr>
            <w:tcW w:w="2243" w:type="dxa"/>
            <w:tcBorders>
              <w:top w:val="single" w:sz="4" w:space="0" w:color="000000"/>
              <w:left w:val="single" w:sz="4" w:space="0" w:color="000000"/>
              <w:bottom w:val="single" w:sz="4" w:space="0" w:color="000000"/>
              <w:right w:val="single" w:sz="4" w:space="0" w:color="000000"/>
            </w:tcBorders>
          </w:tcPr>
          <w:p w14:paraId="1C76F685" w14:textId="77777777" w:rsidR="00A8538E" w:rsidRDefault="00A6768D">
            <w:pPr>
              <w:spacing w:after="0" w:line="259" w:lineRule="auto"/>
              <w:ind w:left="0" w:right="0" w:firstLine="0"/>
              <w:jc w:val="left"/>
            </w:pPr>
            <w:r>
              <w:rPr>
                <w:color w:val="FF0000"/>
                <w:sz w:val="24"/>
              </w:rPr>
              <w:t xml:space="preserve"> </w:t>
            </w:r>
          </w:p>
          <w:p w14:paraId="1ADC07E3" w14:textId="77777777" w:rsidR="00A8538E" w:rsidRDefault="00A6768D">
            <w:pPr>
              <w:spacing w:after="0" w:line="259" w:lineRule="auto"/>
              <w:ind w:left="0" w:right="52" w:firstLine="0"/>
              <w:jc w:val="center"/>
            </w:pPr>
            <w:r>
              <w:t xml:space="preserve">ACT </w:t>
            </w:r>
          </w:p>
        </w:tc>
        <w:tc>
          <w:tcPr>
            <w:tcW w:w="4551" w:type="dxa"/>
            <w:tcBorders>
              <w:top w:val="single" w:sz="4" w:space="0" w:color="000000"/>
              <w:left w:val="single" w:sz="4" w:space="0" w:color="000000"/>
              <w:bottom w:val="single" w:sz="4" w:space="0" w:color="000000"/>
              <w:right w:val="single" w:sz="4" w:space="0" w:color="000000"/>
            </w:tcBorders>
            <w:vAlign w:val="center"/>
          </w:tcPr>
          <w:p w14:paraId="06275274" w14:textId="77777777" w:rsidR="00A8538E" w:rsidRDefault="00A6768D">
            <w:pPr>
              <w:spacing w:after="0" w:line="259" w:lineRule="auto"/>
              <w:ind w:left="1" w:right="0" w:firstLine="0"/>
              <w:jc w:val="left"/>
            </w:pPr>
            <w:r>
              <w:t xml:space="preserve">Mises au point du/des marchés(s) </w:t>
            </w:r>
          </w:p>
        </w:tc>
        <w:tc>
          <w:tcPr>
            <w:tcW w:w="2265" w:type="dxa"/>
            <w:tcBorders>
              <w:top w:val="single" w:sz="4" w:space="0" w:color="000000"/>
              <w:left w:val="single" w:sz="4" w:space="0" w:color="000000"/>
              <w:bottom w:val="single" w:sz="4" w:space="0" w:color="000000"/>
              <w:right w:val="single" w:sz="4" w:space="0" w:color="000000"/>
            </w:tcBorders>
            <w:vAlign w:val="center"/>
          </w:tcPr>
          <w:p w14:paraId="2D92EE74" w14:textId="77777777" w:rsidR="00A8538E" w:rsidRDefault="001B5641">
            <w:pPr>
              <w:spacing w:after="0" w:line="259" w:lineRule="auto"/>
              <w:ind w:left="1" w:right="0" w:firstLine="0"/>
              <w:jc w:val="left"/>
            </w:pPr>
            <w:r>
              <w:t>F</w:t>
            </w:r>
            <w:r w:rsidR="006A424E">
              <w:t>erme</w:t>
            </w:r>
          </w:p>
        </w:tc>
      </w:tr>
      <w:tr w:rsidR="00A8538E" w14:paraId="3F4A2D76" w14:textId="77777777">
        <w:trPr>
          <w:trHeight w:val="648"/>
        </w:trPr>
        <w:tc>
          <w:tcPr>
            <w:tcW w:w="2243" w:type="dxa"/>
            <w:tcBorders>
              <w:top w:val="single" w:sz="4" w:space="0" w:color="000000"/>
              <w:left w:val="single" w:sz="4" w:space="0" w:color="000000"/>
              <w:bottom w:val="single" w:sz="4" w:space="0" w:color="000000"/>
              <w:right w:val="single" w:sz="4" w:space="0" w:color="000000"/>
            </w:tcBorders>
          </w:tcPr>
          <w:p w14:paraId="4495AC48" w14:textId="77777777" w:rsidR="00A8538E" w:rsidRDefault="00A6768D">
            <w:pPr>
              <w:spacing w:after="0" w:line="259" w:lineRule="auto"/>
              <w:ind w:left="0" w:right="52" w:firstLine="0"/>
              <w:jc w:val="center"/>
            </w:pPr>
            <w:r>
              <w:t xml:space="preserve">DET/ </w:t>
            </w:r>
          </w:p>
          <w:p w14:paraId="3CFF11E9" w14:textId="77777777" w:rsidR="00A8538E" w:rsidRDefault="00A6768D">
            <w:pPr>
              <w:spacing w:after="0" w:line="259" w:lineRule="auto"/>
              <w:ind w:left="0" w:right="52" w:firstLine="0"/>
              <w:jc w:val="center"/>
            </w:pPr>
            <w:r>
              <w:t xml:space="preserve">VISA </w:t>
            </w:r>
          </w:p>
        </w:tc>
        <w:tc>
          <w:tcPr>
            <w:tcW w:w="4551" w:type="dxa"/>
            <w:tcBorders>
              <w:top w:val="single" w:sz="4" w:space="0" w:color="000000"/>
              <w:left w:val="single" w:sz="4" w:space="0" w:color="000000"/>
              <w:bottom w:val="single" w:sz="4" w:space="0" w:color="000000"/>
              <w:right w:val="single" w:sz="4" w:space="0" w:color="000000"/>
            </w:tcBorders>
          </w:tcPr>
          <w:p w14:paraId="205EE3A0" w14:textId="77777777" w:rsidR="00A8538E" w:rsidRDefault="00A6768D">
            <w:pPr>
              <w:spacing w:after="0" w:line="259" w:lineRule="auto"/>
              <w:ind w:left="1" w:right="0" w:firstLine="0"/>
              <w:jc w:val="left"/>
            </w:pPr>
            <w:r>
              <w:t xml:space="preserve">Direction de l’exécution des travaux et visa des documents d’exécution </w:t>
            </w:r>
          </w:p>
        </w:tc>
        <w:tc>
          <w:tcPr>
            <w:tcW w:w="2265" w:type="dxa"/>
            <w:tcBorders>
              <w:top w:val="single" w:sz="4" w:space="0" w:color="000000"/>
              <w:left w:val="single" w:sz="4" w:space="0" w:color="000000"/>
              <w:bottom w:val="single" w:sz="4" w:space="0" w:color="000000"/>
              <w:right w:val="single" w:sz="4" w:space="0" w:color="000000"/>
            </w:tcBorders>
            <w:vAlign w:val="center"/>
          </w:tcPr>
          <w:p w14:paraId="734F2BA4" w14:textId="77777777" w:rsidR="00A8538E" w:rsidRDefault="001B5641">
            <w:pPr>
              <w:spacing w:after="0" w:line="259" w:lineRule="auto"/>
              <w:ind w:left="1" w:right="0" w:firstLine="0"/>
              <w:jc w:val="left"/>
            </w:pPr>
            <w:r>
              <w:t>Ferme</w:t>
            </w:r>
          </w:p>
        </w:tc>
      </w:tr>
      <w:tr w:rsidR="00A8538E" w14:paraId="7E222A93" w14:textId="77777777">
        <w:trPr>
          <w:trHeight w:val="649"/>
        </w:trPr>
        <w:tc>
          <w:tcPr>
            <w:tcW w:w="2243" w:type="dxa"/>
            <w:tcBorders>
              <w:top w:val="single" w:sz="4" w:space="0" w:color="000000"/>
              <w:left w:val="single" w:sz="4" w:space="0" w:color="000000"/>
              <w:bottom w:val="single" w:sz="4" w:space="0" w:color="000000"/>
              <w:right w:val="single" w:sz="4" w:space="0" w:color="000000"/>
            </w:tcBorders>
          </w:tcPr>
          <w:p w14:paraId="29EB49CE" w14:textId="77777777" w:rsidR="00A8538E" w:rsidRDefault="00A6768D">
            <w:pPr>
              <w:spacing w:after="0" w:line="259" w:lineRule="auto"/>
              <w:ind w:left="0" w:right="52" w:firstLine="0"/>
              <w:jc w:val="center"/>
            </w:pPr>
            <w:r>
              <w:t xml:space="preserve">AOR </w:t>
            </w:r>
          </w:p>
          <w:p w14:paraId="427B32CF" w14:textId="77777777" w:rsidR="00A8538E" w:rsidRDefault="00A6768D">
            <w:pPr>
              <w:spacing w:after="0" w:line="259" w:lineRule="auto"/>
              <w:ind w:left="6" w:right="0" w:firstLine="0"/>
              <w:jc w:val="center"/>
            </w:pPr>
            <w:r>
              <w:t xml:space="preserve"> </w:t>
            </w:r>
          </w:p>
        </w:tc>
        <w:tc>
          <w:tcPr>
            <w:tcW w:w="4551" w:type="dxa"/>
            <w:tcBorders>
              <w:top w:val="single" w:sz="4" w:space="0" w:color="000000"/>
              <w:left w:val="single" w:sz="4" w:space="0" w:color="000000"/>
              <w:bottom w:val="single" w:sz="4" w:space="0" w:color="000000"/>
              <w:right w:val="single" w:sz="4" w:space="0" w:color="000000"/>
            </w:tcBorders>
          </w:tcPr>
          <w:p w14:paraId="0B591A46" w14:textId="77777777" w:rsidR="00A8538E" w:rsidRDefault="00A6768D">
            <w:pPr>
              <w:spacing w:after="0" w:line="259" w:lineRule="auto"/>
              <w:ind w:left="1" w:right="0" w:firstLine="0"/>
              <w:jc w:val="left"/>
            </w:pPr>
            <w:r>
              <w:t xml:space="preserve">Assistance aux opérations de réception et de garantie de parfait achèvement </w:t>
            </w:r>
          </w:p>
        </w:tc>
        <w:tc>
          <w:tcPr>
            <w:tcW w:w="2265" w:type="dxa"/>
            <w:tcBorders>
              <w:top w:val="single" w:sz="4" w:space="0" w:color="000000"/>
              <w:left w:val="single" w:sz="4" w:space="0" w:color="000000"/>
              <w:bottom w:val="single" w:sz="4" w:space="0" w:color="000000"/>
              <w:right w:val="single" w:sz="4" w:space="0" w:color="000000"/>
            </w:tcBorders>
            <w:vAlign w:val="center"/>
          </w:tcPr>
          <w:p w14:paraId="7451B88F" w14:textId="77777777" w:rsidR="00A8538E" w:rsidRDefault="001B5641">
            <w:pPr>
              <w:spacing w:after="0" w:line="259" w:lineRule="auto"/>
              <w:ind w:left="1" w:right="0" w:firstLine="0"/>
              <w:jc w:val="left"/>
            </w:pPr>
            <w:r>
              <w:t>Ferme</w:t>
            </w:r>
          </w:p>
        </w:tc>
      </w:tr>
    </w:tbl>
    <w:p w14:paraId="7FC84781" w14:textId="77777777" w:rsidR="00763101" w:rsidRDefault="00763101">
      <w:pPr>
        <w:spacing w:after="282"/>
        <w:ind w:left="-5" w:right="0"/>
      </w:pPr>
    </w:p>
    <w:p w14:paraId="416C14AD" w14:textId="77777777" w:rsidR="00763101" w:rsidRDefault="00763101" w:rsidP="00763101">
      <w:pPr>
        <w:spacing w:after="282"/>
        <w:ind w:left="-5" w:right="0"/>
      </w:pPr>
      <w:r w:rsidRPr="005851FE">
        <w:rPr>
          <w:u w:val="single"/>
        </w:rPr>
        <w:t>Mission complémentaire</w:t>
      </w:r>
      <w:r>
        <w:t xml:space="preserve"> : </w:t>
      </w:r>
    </w:p>
    <w:p w14:paraId="6A621194" w14:textId="77777777" w:rsidR="00763101" w:rsidRPr="005851FE" w:rsidRDefault="00763101" w:rsidP="00763101">
      <w:pPr>
        <w:spacing w:after="282"/>
        <w:ind w:left="-5" w:right="0"/>
        <w:rPr>
          <w:color w:val="auto"/>
        </w:rPr>
      </w:pPr>
      <w:r w:rsidRPr="005851FE">
        <w:rPr>
          <w:color w:val="auto"/>
        </w:rPr>
        <w:t xml:space="preserve">OPC – organisation, pilotage, coordination. </w:t>
      </w:r>
    </w:p>
    <w:p w14:paraId="4F4947B6" w14:textId="77777777" w:rsidR="00A8538E" w:rsidRDefault="00763101">
      <w:pPr>
        <w:spacing w:after="282"/>
        <w:ind w:left="-5" w:right="0"/>
      </w:pPr>
      <w:r>
        <w:t>L</w:t>
      </w:r>
      <w:r w:rsidR="00A6768D">
        <w:t xml:space="preserve">e contenu de chaque élément est celui qui figure à l’annexe III de l’arrêté du 21 Décembre 1993. </w:t>
      </w:r>
    </w:p>
    <w:p w14:paraId="4950EF01" w14:textId="77777777" w:rsidR="00A8538E" w:rsidRDefault="00A6768D">
      <w:pPr>
        <w:spacing w:after="288"/>
        <w:ind w:left="-5" w:right="0"/>
      </w:pPr>
      <w:r>
        <w:t xml:space="preserve">L’ouvrage à réaliser appartient à la catégorie d’ouvrages Infrastructure en Construction Neuve. Il est envisagé une dévolution des travaux par marchés séparés. Cependant, le choix définitif du mode de dévolution devra être confirmé au plus tard au début d’exécution de l’élément ACT (assistance pour la passation des contrats de travaux). </w:t>
      </w:r>
    </w:p>
    <w:p w14:paraId="40EDC3B1" w14:textId="77777777" w:rsidR="00A8538E" w:rsidRDefault="00A6768D">
      <w:pPr>
        <w:pStyle w:val="Titre2"/>
        <w:ind w:left="-5"/>
      </w:pPr>
      <w:bookmarkStart w:id="4" w:name="_Toc513628492"/>
      <w:r>
        <w:t>Article 1-4 Conduite d’opération</w:t>
      </w:r>
      <w:bookmarkEnd w:id="4"/>
      <w:r>
        <w:rPr>
          <w:u w:val="none"/>
        </w:rPr>
        <w:t xml:space="preserve"> </w:t>
      </w:r>
    </w:p>
    <w:p w14:paraId="7C793E54" w14:textId="77777777" w:rsidR="00A8538E" w:rsidRDefault="00A6768D">
      <w:pPr>
        <w:spacing w:after="0" w:line="259" w:lineRule="auto"/>
        <w:ind w:left="0" w:right="0" w:firstLine="0"/>
        <w:jc w:val="left"/>
      </w:pPr>
      <w:r>
        <w:rPr>
          <w:sz w:val="24"/>
        </w:rPr>
        <w:t xml:space="preserve"> </w:t>
      </w:r>
    </w:p>
    <w:p w14:paraId="52592555" w14:textId="77777777" w:rsidR="00A8538E" w:rsidRDefault="00A6768D">
      <w:pPr>
        <w:ind w:left="-5" w:right="0"/>
      </w:pPr>
      <w:r>
        <w:t xml:space="preserve">La conduite d’opération sera assurée par les maîtres d’ouvrage sur leur territoire respectif. </w:t>
      </w:r>
    </w:p>
    <w:p w14:paraId="40FA21CB" w14:textId="77777777" w:rsidR="00A8538E" w:rsidRDefault="00A6768D">
      <w:pPr>
        <w:spacing w:after="0" w:line="259" w:lineRule="auto"/>
        <w:ind w:left="0" w:right="0" w:firstLine="0"/>
        <w:jc w:val="left"/>
      </w:pPr>
      <w:r>
        <w:t xml:space="preserve"> </w:t>
      </w:r>
    </w:p>
    <w:p w14:paraId="56EF4282" w14:textId="77777777" w:rsidR="00A8538E" w:rsidRDefault="00A6768D">
      <w:pPr>
        <w:ind w:left="-5" w:right="0"/>
      </w:pPr>
      <w:r>
        <w:t>D’une manière générale, le maître d’œuvre devra tenir régulièrement informé les personnes directement concernées par les travaux connexes (propriétaires, exploitants, élus locaux,</w:t>
      </w:r>
      <w:r w:rsidR="001B5641">
        <w:t xml:space="preserve"> Conseil Départemen</w:t>
      </w:r>
      <w:r w:rsidR="00F30437">
        <w:t xml:space="preserve">tal, </w:t>
      </w:r>
      <w:r w:rsidR="001B5641">
        <w:t>Chambre d’Agriculture,</w:t>
      </w:r>
      <w:r>
        <w:t xml:space="preserve"> notamment) du déroulement de la mission « étude » et de la mission « travaux ». </w:t>
      </w:r>
      <w:r>
        <w:lastRenderedPageBreak/>
        <w:t>L’élément « PRO » repose sur une concertation étroite (</w:t>
      </w:r>
      <w:r>
        <w:rPr>
          <w:i/>
        </w:rPr>
        <w:t>organisation de réunions, entretiens, permanences en mairie</w:t>
      </w:r>
      <w:r>
        <w:t xml:space="preserve">…) avec les personnes concernées pour ajuster le programme de travaux connexes (fourni au stade AVP) aux réalités du terrain tout en respectant les autorisations administratives de travaux. </w:t>
      </w:r>
    </w:p>
    <w:p w14:paraId="33D7664B" w14:textId="77777777" w:rsidR="00A8538E" w:rsidRDefault="00A6768D">
      <w:pPr>
        <w:spacing w:after="19" w:line="259" w:lineRule="auto"/>
        <w:ind w:left="0" w:right="0" w:firstLine="0"/>
        <w:jc w:val="left"/>
      </w:pPr>
      <w:r>
        <w:t xml:space="preserve"> </w:t>
      </w:r>
    </w:p>
    <w:p w14:paraId="697C28C1" w14:textId="77777777" w:rsidR="00A8538E" w:rsidRDefault="00A6768D">
      <w:pPr>
        <w:ind w:left="-5" w:right="0"/>
      </w:pPr>
      <w:r>
        <w:t xml:space="preserve">Le maître d’œuvre devra veiller à la bonne exécution des travaux connexes. Il met en œuvre les principes généraux de prévention définis aux a, b, c, e, f et h du II de l'article L. 230-2 du Code du travail. </w:t>
      </w:r>
    </w:p>
    <w:p w14:paraId="5B346853" w14:textId="77777777" w:rsidR="00A8538E" w:rsidRDefault="00A6768D">
      <w:pPr>
        <w:spacing w:after="0" w:line="259" w:lineRule="auto"/>
        <w:ind w:left="0" w:right="0" w:firstLine="0"/>
        <w:jc w:val="left"/>
      </w:pPr>
      <w:r>
        <w:rPr>
          <w:sz w:val="24"/>
        </w:rPr>
        <w:t xml:space="preserve"> </w:t>
      </w:r>
    </w:p>
    <w:p w14:paraId="04932DCB" w14:textId="77777777" w:rsidR="00A8538E" w:rsidRDefault="00A6768D">
      <w:pPr>
        <w:pStyle w:val="Titre2"/>
        <w:ind w:left="-5"/>
      </w:pPr>
      <w:bookmarkStart w:id="5" w:name="_Toc513628493"/>
      <w:r>
        <w:t>Article 1-5 Contrôle technique</w:t>
      </w:r>
      <w:bookmarkEnd w:id="5"/>
      <w:r>
        <w:rPr>
          <w:u w:val="none"/>
        </w:rPr>
        <w:t xml:space="preserve"> </w:t>
      </w:r>
    </w:p>
    <w:p w14:paraId="1D507EF8" w14:textId="77777777" w:rsidR="00A8538E" w:rsidRDefault="00A6768D">
      <w:pPr>
        <w:spacing w:after="36" w:line="259" w:lineRule="auto"/>
        <w:ind w:left="0" w:right="0" w:firstLine="0"/>
        <w:jc w:val="left"/>
      </w:pPr>
      <w:r>
        <w:t xml:space="preserve"> </w:t>
      </w:r>
    </w:p>
    <w:p w14:paraId="3423A8BE" w14:textId="77777777" w:rsidR="00A8538E" w:rsidRDefault="00A6768D">
      <w:pPr>
        <w:ind w:left="-5" w:right="0"/>
      </w:pPr>
      <w:r>
        <w:t>Pour l’exécution du présent marché, le maître de l’ouvrage ne sera pas assisté d’un contrôleur technique.</w:t>
      </w:r>
      <w:r>
        <w:rPr>
          <w:sz w:val="24"/>
        </w:rPr>
        <w:t xml:space="preserve">  </w:t>
      </w:r>
    </w:p>
    <w:p w14:paraId="570D40C9" w14:textId="77777777" w:rsidR="00A8538E" w:rsidRDefault="00A6768D">
      <w:pPr>
        <w:spacing w:after="0" w:line="259" w:lineRule="auto"/>
        <w:ind w:left="0" w:right="0" w:firstLine="0"/>
        <w:jc w:val="left"/>
      </w:pPr>
      <w:r>
        <w:rPr>
          <w:sz w:val="24"/>
        </w:rPr>
        <w:t xml:space="preserve"> </w:t>
      </w:r>
    </w:p>
    <w:p w14:paraId="327B4EF7" w14:textId="77777777" w:rsidR="00A8538E" w:rsidRDefault="00A6768D">
      <w:pPr>
        <w:pStyle w:val="Titre2"/>
        <w:ind w:left="-5"/>
      </w:pPr>
      <w:bookmarkStart w:id="6" w:name="_Toc513628494"/>
      <w:r>
        <w:t>Article 1-6 Ordonnancement, pilotage, coordination</w:t>
      </w:r>
      <w:bookmarkEnd w:id="6"/>
      <w:r>
        <w:rPr>
          <w:u w:val="none"/>
        </w:rPr>
        <w:t xml:space="preserve"> </w:t>
      </w:r>
    </w:p>
    <w:p w14:paraId="3F911B71" w14:textId="77777777" w:rsidR="00A8538E" w:rsidRDefault="00A6768D">
      <w:pPr>
        <w:spacing w:after="17" w:line="259" w:lineRule="auto"/>
        <w:ind w:left="0" w:right="0" w:firstLine="0"/>
        <w:jc w:val="left"/>
      </w:pPr>
      <w:r>
        <w:rPr>
          <w:sz w:val="24"/>
        </w:rPr>
        <w:t xml:space="preserve"> </w:t>
      </w:r>
    </w:p>
    <w:p w14:paraId="3CD6A35B" w14:textId="77777777" w:rsidR="00A8538E" w:rsidRPr="005851FE" w:rsidRDefault="00A6768D">
      <w:pPr>
        <w:ind w:left="-5" w:right="0"/>
        <w:rPr>
          <w:color w:val="auto"/>
        </w:rPr>
      </w:pPr>
      <w:r>
        <w:t>La réalisation des prestations décrites dans l’élément de mission O.P.C. est confiée au maître d’œuvre</w:t>
      </w:r>
      <w:r w:rsidR="00763101">
        <w:t xml:space="preserve"> </w:t>
      </w:r>
      <w:r w:rsidR="00763101" w:rsidRPr="005851FE">
        <w:rPr>
          <w:color w:val="auto"/>
        </w:rPr>
        <w:t>ou son équipe</w:t>
      </w:r>
      <w:r w:rsidRPr="005851FE">
        <w:rPr>
          <w:color w:val="auto"/>
        </w:rPr>
        <w:t>.</w:t>
      </w:r>
      <w:r w:rsidRPr="005851FE">
        <w:rPr>
          <w:color w:val="auto"/>
          <w:sz w:val="24"/>
        </w:rPr>
        <w:t xml:space="preserve">  </w:t>
      </w:r>
    </w:p>
    <w:p w14:paraId="1145A3B7" w14:textId="77777777" w:rsidR="00A8538E" w:rsidRDefault="00A6768D">
      <w:pPr>
        <w:spacing w:after="0" w:line="259" w:lineRule="auto"/>
        <w:ind w:left="0" w:right="0" w:firstLine="0"/>
        <w:jc w:val="left"/>
      </w:pPr>
      <w:r>
        <w:rPr>
          <w:sz w:val="24"/>
        </w:rPr>
        <w:t xml:space="preserve"> </w:t>
      </w:r>
    </w:p>
    <w:p w14:paraId="37A66C29" w14:textId="77777777" w:rsidR="00A8538E" w:rsidRDefault="00A6768D">
      <w:pPr>
        <w:pStyle w:val="Titre2"/>
        <w:ind w:left="-5"/>
      </w:pPr>
      <w:bookmarkStart w:id="7" w:name="_Toc513628495"/>
      <w:r>
        <w:t>Article 1-7 Coordination en matière de sécurité et de protection de la santé des travailleurs</w:t>
      </w:r>
      <w:bookmarkEnd w:id="7"/>
      <w:r>
        <w:rPr>
          <w:u w:val="none"/>
        </w:rPr>
        <w:t xml:space="preserve"> </w:t>
      </w:r>
    </w:p>
    <w:p w14:paraId="06904215" w14:textId="77777777" w:rsidR="00A8538E" w:rsidRDefault="00A6768D">
      <w:pPr>
        <w:spacing w:after="0" w:line="259" w:lineRule="auto"/>
        <w:ind w:left="0" w:right="0" w:firstLine="0"/>
        <w:jc w:val="left"/>
      </w:pPr>
      <w:r>
        <w:t xml:space="preserve"> </w:t>
      </w:r>
    </w:p>
    <w:p w14:paraId="6743C34B" w14:textId="77777777" w:rsidR="00A8538E" w:rsidRDefault="00A6768D">
      <w:pPr>
        <w:ind w:left="-5" w:right="0"/>
      </w:pPr>
      <w:r>
        <w:t xml:space="preserve">La mission de coordination en matière de sécurité et de protection de la santé des travailleurs sera assurée par un prestataire qui sera désigné ultérieurement par les maîtres d’ouvrage, dans la mesure où elle sera justifiée. </w:t>
      </w:r>
    </w:p>
    <w:p w14:paraId="2DA7FFC5" w14:textId="77777777" w:rsidR="00F30437" w:rsidRDefault="00F30437">
      <w:pPr>
        <w:ind w:left="-5" w:right="0"/>
      </w:pPr>
    </w:p>
    <w:p w14:paraId="210BF525" w14:textId="77777777" w:rsidR="00A8538E" w:rsidRDefault="00A6768D">
      <w:pPr>
        <w:pStyle w:val="Titre1"/>
        <w:ind w:left="-5"/>
      </w:pPr>
      <w:bookmarkStart w:id="8" w:name="_Toc513628496"/>
      <w:r>
        <w:t>Article 2 : Caractéristiques du marché</w:t>
      </w:r>
      <w:bookmarkEnd w:id="8"/>
      <w:r>
        <w:rPr>
          <w:b w:val="0"/>
          <w:sz w:val="24"/>
        </w:rPr>
        <w:t xml:space="preserve"> </w:t>
      </w:r>
    </w:p>
    <w:p w14:paraId="62C85858" w14:textId="77777777" w:rsidR="00A8538E" w:rsidRDefault="00A6768D">
      <w:pPr>
        <w:spacing w:after="0" w:line="259" w:lineRule="auto"/>
        <w:ind w:left="0" w:right="0" w:firstLine="0"/>
        <w:jc w:val="left"/>
      </w:pPr>
      <w:r>
        <w:t xml:space="preserve"> </w:t>
      </w:r>
    </w:p>
    <w:p w14:paraId="3AF201E2" w14:textId="77777777" w:rsidR="00A8538E" w:rsidRDefault="00A6768D">
      <w:pPr>
        <w:pStyle w:val="Titre2"/>
        <w:ind w:left="-5"/>
      </w:pPr>
      <w:bookmarkStart w:id="9" w:name="_Toc513628497"/>
      <w:r>
        <w:t>Article 2-1 Pièces constitutives du marché</w:t>
      </w:r>
      <w:bookmarkEnd w:id="9"/>
      <w:r>
        <w:rPr>
          <w:u w:val="none"/>
        </w:rPr>
        <w:t xml:space="preserve"> </w:t>
      </w:r>
    </w:p>
    <w:p w14:paraId="713F13BD" w14:textId="77777777" w:rsidR="00A8538E" w:rsidRDefault="00A6768D">
      <w:pPr>
        <w:spacing w:after="0" w:line="259" w:lineRule="auto"/>
        <w:ind w:left="0" w:right="0" w:firstLine="0"/>
        <w:jc w:val="left"/>
      </w:pPr>
      <w:r>
        <w:rPr>
          <w:sz w:val="24"/>
        </w:rPr>
        <w:t xml:space="preserve"> </w:t>
      </w:r>
    </w:p>
    <w:p w14:paraId="1BE5354B" w14:textId="77777777" w:rsidR="00A8538E" w:rsidRDefault="00A6768D">
      <w:pPr>
        <w:ind w:left="-5" w:right="0"/>
      </w:pPr>
      <w:r>
        <w:t xml:space="preserve">Par dérogation à l’article 4.1 du CCAG de référence, les pièces contractuelles du marché sont les suivantes et, en cas de contradiction entre leurs stipulations, prévalent dans l’ordre de priorité ci-après : </w:t>
      </w:r>
    </w:p>
    <w:p w14:paraId="433A4CFF" w14:textId="77777777" w:rsidR="00A8538E" w:rsidRDefault="00A6768D">
      <w:pPr>
        <w:spacing w:after="100" w:line="259" w:lineRule="auto"/>
        <w:ind w:left="708" w:right="0" w:firstLine="0"/>
        <w:jc w:val="left"/>
      </w:pPr>
      <w:r>
        <w:rPr>
          <w:sz w:val="12"/>
        </w:rPr>
        <w:t xml:space="preserve"> </w:t>
      </w:r>
    </w:p>
    <w:p w14:paraId="2EA8A8CE" w14:textId="77777777" w:rsidR="00A8538E" w:rsidRDefault="00F30437" w:rsidP="00F30437">
      <w:pPr>
        <w:spacing w:after="25"/>
        <w:ind w:right="286" w:firstLine="0"/>
      </w:pPr>
      <w:r>
        <w:t xml:space="preserve">- </w:t>
      </w:r>
      <w:r w:rsidR="00A6768D">
        <w:t xml:space="preserve">les actes d’engagement et leurs éventuelles annexes, propre à chaque maître d’ouvrage des travaux connexes  </w:t>
      </w:r>
    </w:p>
    <w:p w14:paraId="1760BC55" w14:textId="77777777" w:rsidR="00F30437" w:rsidRDefault="00F30437" w:rsidP="00F30437">
      <w:pPr>
        <w:ind w:right="286" w:firstLine="0"/>
      </w:pPr>
      <w:r>
        <w:lastRenderedPageBreak/>
        <w:t xml:space="preserve">- </w:t>
      </w:r>
      <w:r w:rsidR="00A6768D">
        <w:t xml:space="preserve">le cahier des clauses particulières (CCP), commun aux maîtres d’ouvrage des travaux connexes ; </w:t>
      </w:r>
    </w:p>
    <w:p w14:paraId="7525C604" w14:textId="77777777" w:rsidR="0011490D" w:rsidRDefault="00A6768D" w:rsidP="0011490D">
      <w:pPr>
        <w:ind w:right="286" w:firstLine="0"/>
      </w:pPr>
      <w:r>
        <w:t xml:space="preserve">- le mémoire méthodologique, commun aux maîtres d’ouvrage des travaux connexes. </w:t>
      </w:r>
    </w:p>
    <w:p w14:paraId="452A900C" w14:textId="77777777" w:rsidR="0011490D" w:rsidRPr="005851FE" w:rsidRDefault="0011490D" w:rsidP="0011490D">
      <w:pPr>
        <w:ind w:right="286" w:firstLine="0"/>
        <w:rPr>
          <w:color w:val="auto"/>
        </w:rPr>
      </w:pPr>
      <w:r w:rsidRPr="005851FE">
        <w:rPr>
          <w:color w:val="auto"/>
        </w:rPr>
        <w:t>- Les déclarations de sous-traitance</w:t>
      </w:r>
    </w:p>
    <w:p w14:paraId="0CE4FB4C" w14:textId="77777777" w:rsidR="0011490D" w:rsidRPr="005851FE" w:rsidRDefault="0011490D" w:rsidP="0011490D">
      <w:pPr>
        <w:ind w:right="286" w:firstLine="0"/>
        <w:rPr>
          <w:color w:val="auto"/>
        </w:rPr>
      </w:pPr>
      <w:r w:rsidRPr="005851FE">
        <w:rPr>
          <w:color w:val="auto"/>
        </w:rPr>
        <w:t>- Les ordres de services, le cas échéant.</w:t>
      </w:r>
    </w:p>
    <w:p w14:paraId="47894B68" w14:textId="77777777" w:rsidR="0011490D" w:rsidRDefault="0011490D" w:rsidP="0011490D">
      <w:pPr>
        <w:ind w:right="286" w:firstLine="0"/>
      </w:pPr>
    </w:p>
    <w:p w14:paraId="791EA27B" w14:textId="77777777" w:rsidR="00A8538E" w:rsidRDefault="00A6768D" w:rsidP="0011490D">
      <w:pPr>
        <w:ind w:right="286" w:firstLine="0"/>
      </w:pPr>
      <w:r>
        <w:t xml:space="preserve"> </w:t>
      </w:r>
    </w:p>
    <w:p w14:paraId="274C3063" w14:textId="77777777" w:rsidR="00A8538E" w:rsidRDefault="00A6768D">
      <w:pPr>
        <w:pStyle w:val="Titre2"/>
        <w:ind w:left="-5"/>
        <w:rPr>
          <w:u w:val="none"/>
        </w:rPr>
      </w:pPr>
      <w:bookmarkStart w:id="10" w:name="_Toc513628498"/>
      <w:r>
        <w:t>Article 2-2 Pièces Générales</w:t>
      </w:r>
      <w:bookmarkEnd w:id="10"/>
      <w:r>
        <w:rPr>
          <w:u w:val="none"/>
        </w:rPr>
        <w:t xml:space="preserve"> </w:t>
      </w:r>
    </w:p>
    <w:p w14:paraId="30E9086D" w14:textId="77777777" w:rsidR="0011490D" w:rsidRDefault="0011490D" w:rsidP="0011490D"/>
    <w:p w14:paraId="76F51BDB" w14:textId="7E24FD35" w:rsidR="0011490D" w:rsidRDefault="0011490D" w:rsidP="0011490D">
      <w:pPr>
        <w:keepLines/>
        <w:tabs>
          <w:tab w:val="left" w:pos="284"/>
          <w:tab w:val="left" w:pos="567"/>
          <w:tab w:val="left" w:pos="851"/>
        </w:tabs>
        <w:spacing w:after="0" w:line="240" w:lineRule="auto"/>
        <w:ind w:left="0" w:right="0" w:firstLine="284"/>
        <w:rPr>
          <w:rFonts w:eastAsia="Times New Roman"/>
          <w:color w:val="auto"/>
        </w:rPr>
      </w:pPr>
      <w:r w:rsidRPr="005851FE">
        <w:rPr>
          <w:rFonts w:eastAsia="Times New Roman"/>
          <w:color w:val="auto"/>
        </w:rPr>
        <w:t>Les documents applicables sont ceux en vigueur au premier jour du mois d'établissement des prix</w:t>
      </w:r>
      <w:r w:rsidR="005851FE">
        <w:rPr>
          <w:rFonts w:eastAsia="Times New Roman"/>
          <w:color w:val="auto"/>
        </w:rPr>
        <w:t> :</w:t>
      </w:r>
    </w:p>
    <w:p w14:paraId="6C12D6C8" w14:textId="77777777" w:rsidR="005851FE" w:rsidRPr="005851FE" w:rsidRDefault="005851FE" w:rsidP="0011490D">
      <w:pPr>
        <w:keepLines/>
        <w:tabs>
          <w:tab w:val="left" w:pos="284"/>
          <w:tab w:val="left" w:pos="567"/>
          <w:tab w:val="left" w:pos="851"/>
        </w:tabs>
        <w:spacing w:after="0" w:line="240" w:lineRule="auto"/>
        <w:ind w:left="0" w:right="0" w:firstLine="284"/>
        <w:rPr>
          <w:rFonts w:eastAsia="Times New Roman"/>
          <w:color w:val="auto"/>
        </w:rPr>
      </w:pPr>
    </w:p>
    <w:p w14:paraId="343A8DBB" w14:textId="29C6B2AA" w:rsidR="0011490D" w:rsidRPr="005851FE" w:rsidRDefault="0011490D" w:rsidP="0011490D">
      <w:pPr>
        <w:spacing w:after="0" w:line="240" w:lineRule="auto"/>
        <w:ind w:left="0" w:right="0" w:firstLine="0"/>
        <w:jc w:val="left"/>
        <w:rPr>
          <w:rFonts w:eastAsia="Times New Roman"/>
          <w:color w:val="auto"/>
        </w:rPr>
      </w:pPr>
      <w:r w:rsidRPr="005851FE">
        <w:rPr>
          <w:rFonts w:eastAsia="Times New Roman"/>
          <w:color w:val="auto"/>
        </w:rPr>
        <w:tab/>
        <w:t>- l'ordonnance n°2015-899 du 23 juillet 2015 relative aux marchés publics</w:t>
      </w:r>
      <w:r w:rsidR="005851FE">
        <w:rPr>
          <w:rFonts w:eastAsia="Times New Roman"/>
          <w:color w:val="auto"/>
        </w:rPr>
        <w:t xml:space="preserve"> </w:t>
      </w:r>
      <w:r w:rsidRPr="005851FE">
        <w:rPr>
          <w:rFonts w:eastAsia="Times New Roman"/>
          <w:color w:val="auto"/>
        </w:rPr>
        <w:t>;</w:t>
      </w:r>
    </w:p>
    <w:p w14:paraId="455C0B6F" w14:textId="46C0EEE9" w:rsidR="0011490D" w:rsidRPr="005851FE" w:rsidRDefault="0011490D" w:rsidP="0011490D">
      <w:pPr>
        <w:spacing w:after="0" w:line="240" w:lineRule="auto"/>
        <w:ind w:left="0" w:right="0" w:firstLine="0"/>
        <w:jc w:val="left"/>
        <w:rPr>
          <w:rFonts w:eastAsia="Times New Roman"/>
          <w:color w:val="auto"/>
        </w:rPr>
      </w:pPr>
      <w:r w:rsidRPr="005851FE">
        <w:rPr>
          <w:rFonts w:eastAsia="Times New Roman"/>
          <w:color w:val="auto"/>
        </w:rPr>
        <w:tab/>
        <w:t>- le décret n° 2016-360 du 25 mars 2016 relatif aux marchés publics</w:t>
      </w:r>
      <w:r w:rsidR="005851FE">
        <w:rPr>
          <w:rFonts w:eastAsia="Times New Roman"/>
          <w:color w:val="auto"/>
        </w:rPr>
        <w:t xml:space="preserve"> </w:t>
      </w:r>
      <w:r w:rsidRPr="005851FE">
        <w:rPr>
          <w:rFonts w:eastAsia="Times New Roman"/>
          <w:color w:val="auto"/>
        </w:rPr>
        <w:t xml:space="preserve">; </w:t>
      </w:r>
    </w:p>
    <w:p w14:paraId="772F8C9E" w14:textId="729A4199" w:rsidR="0011490D" w:rsidRPr="005851FE" w:rsidRDefault="0011490D" w:rsidP="0011490D">
      <w:pPr>
        <w:spacing w:after="0" w:line="240" w:lineRule="auto"/>
        <w:ind w:left="0" w:right="0" w:firstLine="0"/>
        <w:jc w:val="left"/>
        <w:rPr>
          <w:rFonts w:eastAsia="Times New Roman"/>
          <w:color w:val="auto"/>
        </w:rPr>
      </w:pPr>
      <w:r w:rsidRPr="005851FE">
        <w:rPr>
          <w:rFonts w:eastAsia="Times New Roman"/>
          <w:color w:val="auto"/>
        </w:rPr>
        <w:tab/>
        <w:t>- le cahier des clauses administratives générales (C.C.A.G) applicable aux marchés publics de prestations intellectuelles</w:t>
      </w:r>
      <w:r w:rsidR="005851FE">
        <w:rPr>
          <w:rFonts w:eastAsia="Times New Roman"/>
          <w:color w:val="auto"/>
        </w:rPr>
        <w:t xml:space="preserve"> </w:t>
      </w:r>
      <w:r w:rsidRPr="005851FE">
        <w:rPr>
          <w:rFonts w:eastAsia="Times New Roman"/>
          <w:color w:val="auto"/>
        </w:rPr>
        <w:t>;</w:t>
      </w:r>
    </w:p>
    <w:p w14:paraId="76328DCB" w14:textId="22D38C6F" w:rsidR="0011490D" w:rsidRPr="005851FE" w:rsidRDefault="0011490D" w:rsidP="0011490D">
      <w:pPr>
        <w:spacing w:after="0" w:line="240" w:lineRule="auto"/>
        <w:ind w:left="0" w:right="0" w:firstLine="0"/>
        <w:jc w:val="left"/>
        <w:rPr>
          <w:rFonts w:eastAsia="Times New Roman"/>
          <w:color w:val="auto"/>
        </w:rPr>
      </w:pPr>
      <w:r w:rsidRPr="005851FE">
        <w:rPr>
          <w:rFonts w:eastAsia="Times New Roman"/>
          <w:color w:val="auto"/>
        </w:rPr>
        <w:tab/>
        <w:t>- le cahier des clauses techniques générales (C.C.T.G.) applicable aux marchés publics de travaux</w:t>
      </w:r>
      <w:r w:rsidR="005851FE">
        <w:rPr>
          <w:rFonts w:eastAsia="Times New Roman"/>
          <w:color w:val="auto"/>
        </w:rPr>
        <w:t xml:space="preserve"> </w:t>
      </w:r>
      <w:r w:rsidRPr="005851FE">
        <w:rPr>
          <w:rFonts w:eastAsia="Times New Roman"/>
          <w:color w:val="auto"/>
        </w:rPr>
        <w:t>;</w:t>
      </w:r>
    </w:p>
    <w:p w14:paraId="0C76A374" w14:textId="28BF4FEC" w:rsidR="0011490D" w:rsidRPr="005851FE" w:rsidRDefault="0011490D" w:rsidP="0011490D">
      <w:pPr>
        <w:spacing w:after="0" w:line="240" w:lineRule="auto"/>
        <w:ind w:left="0" w:right="0" w:firstLine="0"/>
        <w:rPr>
          <w:rFonts w:eastAsia="Times New Roman"/>
          <w:color w:val="auto"/>
        </w:rPr>
      </w:pPr>
      <w:r w:rsidRPr="005851FE">
        <w:rPr>
          <w:rFonts w:eastAsia="Times New Roman"/>
          <w:color w:val="auto"/>
        </w:rPr>
        <w:tab/>
        <w:t>- la loi n°85-704 du 12 juillet 1985 relative à la maîtrise d'ouvrage publique et à ses rapports avec la maîtrise d'œuvre privée</w:t>
      </w:r>
      <w:r w:rsidR="005851FE">
        <w:rPr>
          <w:rFonts w:eastAsia="Times New Roman"/>
          <w:color w:val="auto"/>
        </w:rPr>
        <w:t xml:space="preserve"> </w:t>
      </w:r>
      <w:r w:rsidRPr="005851FE">
        <w:rPr>
          <w:rFonts w:eastAsia="Times New Roman"/>
          <w:color w:val="auto"/>
        </w:rPr>
        <w:t>;</w:t>
      </w:r>
    </w:p>
    <w:p w14:paraId="3E69529C" w14:textId="77777777" w:rsidR="0011490D" w:rsidRPr="005851FE" w:rsidRDefault="0011490D" w:rsidP="0011490D">
      <w:pPr>
        <w:spacing w:after="0" w:line="240" w:lineRule="auto"/>
        <w:ind w:left="0" w:right="0" w:firstLine="0"/>
        <w:rPr>
          <w:rFonts w:eastAsia="Times New Roman"/>
          <w:color w:val="auto"/>
        </w:rPr>
      </w:pPr>
      <w:r w:rsidRPr="005851FE">
        <w:rPr>
          <w:rFonts w:eastAsia="Times New Roman"/>
          <w:color w:val="auto"/>
        </w:rPr>
        <w:tab/>
        <w:t>- le décret n° 93-1268 du 29 novembre 1993 relatif aux missions de maîtrise d'œuvre confiées par des maître d'ouvrage publics à des prestataires de droit privé.</w:t>
      </w:r>
    </w:p>
    <w:p w14:paraId="1227A467" w14:textId="4C217EC2" w:rsidR="005851FE" w:rsidRPr="0011490D" w:rsidRDefault="0011490D" w:rsidP="00930E25">
      <w:pPr>
        <w:spacing w:after="0" w:line="240" w:lineRule="auto"/>
        <w:ind w:left="0" w:right="0" w:firstLine="0"/>
        <w:rPr>
          <w:strike/>
        </w:rPr>
      </w:pPr>
      <w:r w:rsidRPr="005851FE">
        <w:rPr>
          <w:rFonts w:eastAsia="Times New Roman"/>
          <w:color w:val="auto"/>
        </w:rPr>
        <w:tab/>
        <w:t>- l'arrêté du 21 décembre 1993 précisant les modalités techniques d'exécution des éléments de mission de maîtrise d'œuvre confiés par des maîtres d'ouvrage publics à des prestataires de droit privé.</w:t>
      </w:r>
    </w:p>
    <w:p w14:paraId="091E4238" w14:textId="77777777" w:rsidR="00A8538E" w:rsidRDefault="00A6768D">
      <w:pPr>
        <w:spacing w:after="0" w:line="259" w:lineRule="auto"/>
        <w:ind w:left="0" w:right="0" w:firstLine="0"/>
        <w:jc w:val="left"/>
      </w:pPr>
      <w:r>
        <w:t xml:space="preserve"> </w:t>
      </w:r>
    </w:p>
    <w:p w14:paraId="68DF139E" w14:textId="77777777" w:rsidR="00A8538E" w:rsidRDefault="00A6768D">
      <w:pPr>
        <w:spacing w:after="16" w:line="259" w:lineRule="auto"/>
        <w:ind w:left="0" w:right="0" w:firstLine="0"/>
        <w:jc w:val="left"/>
      </w:pPr>
      <w:r>
        <w:t xml:space="preserve"> </w:t>
      </w:r>
    </w:p>
    <w:p w14:paraId="510073DB" w14:textId="77777777" w:rsidR="00A8538E" w:rsidRDefault="00A6768D">
      <w:pPr>
        <w:pStyle w:val="Titre1"/>
        <w:tabs>
          <w:tab w:val="center" w:pos="5761"/>
        </w:tabs>
        <w:ind w:left="-15" w:firstLine="0"/>
      </w:pPr>
      <w:bookmarkStart w:id="11" w:name="_Toc513628499"/>
      <w:r>
        <w:t>Article 3 : Prix et paiement des prestations</w:t>
      </w:r>
      <w:bookmarkEnd w:id="11"/>
      <w:r>
        <w:t xml:space="preserve"> </w:t>
      </w:r>
      <w:r>
        <w:tab/>
        <w:t xml:space="preserve"> </w:t>
      </w:r>
    </w:p>
    <w:p w14:paraId="19698223" w14:textId="77777777" w:rsidR="00A8538E" w:rsidRDefault="00A6768D">
      <w:pPr>
        <w:spacing w:after="0" w:line="259" w:lineRule="auto"/>
        <w:ind w:left="0" w:right="0" w:firstLine="0"/>
        <w:jc w:val="left"/>
      </w:pPr>
      <w:r>
        <w:t xml:space="preserve"> </w:t>
      </w:r>
    </w:p>
    <w:p w14:paraId="7FB22991" w14:textId="77777777" w:rsidR="00A8538E" w:rsidRDefault="00A6768D">
      <w:pPr>
        <w:pStyle w:val="Titre2"/>
        <w:ind w:left="-5"/>
      </w:pPr>
      <w:bookmarkStart w:id="12" w:name="_Toc513628500"/>
      <w:r>
        <w:t>Article 3-1 Prix</w:t>
      </w:r>
      <w:bookmarkEnd w:id="12"/>
      <w:r>
        <w:rPr>
          <w:u w:val="none"/>
        </w:rPr>
        <w:t xml:space="preserve"> </w:t>
      </w:r>
    </w:p>
    <w:p w14:paraId="70F189FF" w14:textId="77777777" w:rsidR="00A8538E" w:rsidRDefault="00A6768D">
      <w:pPr>
        <w:spacing w:after="19" w:line="259" w:lineRule="auto"/>
        <w:ind w:left="0" w:right="0" w:firstLine="0"/>
        <w:jc w:val="left"/>
      </w:pPr>
      <w:r>
        <w:rPr>
          <w:sz w:val="18"/>
        </w:rPr>
        <w:t xml:space="preserve"> </w:t>
      </w:r>
    </w:p>
    <w:p w14:paraId="7D47F23F" w14:textId="77777777" w:rsidR="00A8538E" w:rsidRDefault="00A6768D">
      <w:pPr>
        <w:ind w:left="-5" w:right="0"/>
      </w:pPr>
      <w:r>
        <w:t>Les prix du marché sont</w:t>
      </w:r>
      <w:r w:rsidR="0011490D">
        <w:t xml:space="preserve"> établis </w:t>
      </w:r>
      <w:r>
        <w:t xml:space="preserve">hors TVA. </w:t>
      </w:r>
    </w:p>
    <w:p w14:paraId="4C254968" w14:textId="77777777" w:rsidR="00A8538E" w:rsidRDefault="00A6768D">
      <w:pPr>
        <w:spacing w:after="0" w:line="259" w:lineRule="auto"/>
        <w:ind w:left="0" w:right="0" w:firstLine="0"/>
        <w:jc w:val="left"/>
      </w:pPr>
      <w:r>
        <w:t xml:space="preserve"> </w:t>
      </w:r>
    </w:p>
    <w:p w14:paraId="4D7DF19F" w14:textId="77777777" w:rsidR="00A8538E" w:rsidRDefault="00A6768D">
      <w:pPr>
        <w:ind w:left="-5" w:right="0"/>
      </w:pPr>
      <w:r>
        <w:t xml:space="preserve">Les prestations faisant l’objet du marché seront réglées par un prix forfaitaire selon les stipulations de l’acte d’engagement, intégrant l’ensemble des réunions nécessaires à l’accomplissement des missions de maîtrise d’œuvre. </w:t>
      </w:r>
    </w:p>
    <w:p w14:paraId="73AB4E9B" w14:textId="77777777" w:rsidR="00A8538E" w:rsidRDefault="00A6768D">
      <w:pPr>
        <w:spacing w:after="36" w:line="259" w:lineRule="auto"/>
        <w:ind w:left="708" w:right="0" w:firstLine="0"/>
        <w:jc w:val="left"/>
      </w:pPr>
      <w:r>
        <w:rPr>
          <w:sz w:val="18"/>
        </w:rPr>
        <w:lastRenderedPageBreak/>
        <w:t xml:space="preserve"> </w:t>
      </w:r>
    </w:p>
    <w:p w14:paraId="0DF37517" w14:textId="77777777" w:rsidR="00A8538E" w:rsidRDefault="00A6768D">
      <w:pPr>
        <w:pStyle w:val="Titre2"/>
        <w:ind w:left="-5"/>
      </w:pPr>
      <w:bookmarkStart w:id="13" w:name="_Toc513628501"/>
      <w:r>
        <w:t>Article 3-2 Caractéristiques des prix</w:t>
      </w:r>
      <w:bookmarkEnd w:id="13"/>
      <w:r>
        <w:rPr>
          <w:u w:val="none"/>
        </w:rPr>
        <w:t xml:space="preserve"> </w:t>
      </w:r>
    </w:p>
    <w:p w14:paraId="4FDFB2AB" w14:textId="77777777" w:rsidR="00A8538E" w:rsidRDefault="00A6768D">
      <w:pPr>
        <w:spacing w:after="0" w:line="259" w:lineRule="auto"/>
        <w:ind w:left="0" w:right="0" w:firstLine="0"/>
        <w:jc w:val="left"/>
      </w:pPr>
      <w:r>
        <w:rPr>
          <w:sz w:val="24"/>
        </w:rPr>
        <w:t xml:space="preserve"> </w:t>
      </w:r>
    </w:p>
    <w:p w14:paraId="53D6369E" w14:textId="77777777" w:rsidR="00A8538E" w:rsidRDefault="00A6768D">
      <w:pPr>
        <w:pStyle w:val="Titre3"/>
        <w:ind w:left="-5"/>
      </w:pPr>
      <w:r>
        <w:t>-Forfait provisoire de rémunération (</w:t>
      </w:r>
      <w:proofErr w:type="spellStart"/>
      <w:r>
        <w:t>Fp</w:t>
      </w:r>
      <w:proofErr w:type="spellEnd"/>
      <w:r>
        <w:t xml:space="preserve">)  </w:t>
      </w:r>
    </w:p>
    <w:p w14:paraId="5BFA25D6" w14:textId="77777777" w:rsidR="00A8538E" w:rsidRDefault="00A6768D">
      <w:pPr>
        <w:spacing w:after="0" w:line="259" w:lineRule="auto"/>
        <w:ind w:left="0" w:right="0" w:firstLine="0"/>
        <w:jc w:val="left"/>
      </w:pPr>
      <w:r>
        <w:t xml:space="preserve"> </w:t>
      </w:r>
    </w:p>
    <w:p w14:paraId="268A65CD" w14:textId="7E8DD40B" w:rsidR="00A8538E" w:rsidRDefault="00A6768D">
      <w:pPr>
        <w:ind w:left="-5" w:right="0"/>
      </w:pPr>
      <w:r>
        <w:t xml:space="preserve">Le forfait provisoire de rémunération est fixé à </w:t>
      </w:r>
      <w:r w:rsidRPr="005851FE">
        <w:rPr>
          <w:color w:val="auto"/>
        </w:rPr>
        <w:t xml:space="preserve">l'article </w:t>
      </w:r>
      <w:r w:rsidR="006D3D8C" w:rsidRPr="005851FE">
        <w:rPr>
          <w:color w:val="auto"/>
        </w:rPr>
        <w:t>2</w:t>
      </w:r>
      <w:r w:rsidRPr="005851FE">
        <w:rPr>
          <w:color w:val="auto"/>
        </w:rPr>
        <w:t xml:space="preserve"> </w:t>
      </w:r>
      <w:r>
        <w:t xml:space="preserve">de l'acte d'engagement.  </w:t>
      </w:r>
    </w:p>
    <w:p w14:paraId="267021E5" w14:textId="77777777" w:rsidR="00A8538E" w:rsidRDefault="00A6768D">
      <w:pPr>
        <w:spacing w:after="0" w:line="259" w:lineRule="auto"/>
        <w:ind w:left="0" w:right="0" w:firstLine="0"/>
        <w:jc w:val="left"/>
      </w:pPr>
      <w:r>
        <w:t xml:space="preserve"> </w:t>
      </w:r>
    </w:p>
    <w:p w14:paraId="36D11F6A" w14:textId="77777777" w:rsidR="00A8538E" w:rsidRDefault="00A6768D">
      <w:pPr>
        <w:ind w:left="-5" w:right="0"/>
      </w:pPr>
      <w:r>
        <w:t xml:space="preserve">Il est établi sur la base :  </w:t>
      </w:r>
    </w:p>
    <w:p w14:paraId="0FAEFB74" w14:textId="77777777" w:rsidR="00A8538E" w:rsidRDefault="00A6768D">
      <w:pPr>
        <w:spacing w:after="43" w:line="259" w:lineRule="auto"/>
        <w:ind w:left="0" w:right="0" w:firstLine="0"/>
        <w:jc w:val="left"/>
      </w:pPr>
      <w:r>
        <w:rPr>
          <w:sz w:val="16"/>
        </w:rPr>
        <w:t xml:space="preserve"> </w:t>
      </w:r>
    </w:p>
    <w:p w14:paraId="46F151BB" w14:textId="77777777" w:rsidR="00A8538E" w:rsidRDefault="00A6768D">
      <w:pPr>
        <w:ind w:left="-5" w:right="0"/>
      </w:pPr>
      <w:r>
        <w:t xml:space="preserve">-des conditions économiques en vigueur au mois Mo fixé dans l'acte d'engagement ; </w:t>
      </w:r>
    </w:p>
    <w:p w14:paraId="32D93C70" w14:textId="77777777" w:rsidR="00A8538E" w:rsidRDefault="00A6768D">
      <w:pPr>
        <w:ind w:left="-5" w:right="0"/>
      </w:pPr>
      <w:r>
        <w:t>-du montant prévisionnel des travaux arrêté par les Maîtres d'Ouvrage (</w:t>
      </w:r>
      <w:proofErr w:type="spellStart"/>
      <w:r>
        <w:t>Mp</w:t>
      </w:r>
      <w:proofErr w:type="spellEnd"/>
      <w:proofErr w:type="gramStart"/>
      <w:r>
        <w:t>);</w:t>
      </w:r>
      <w:proofErr w:type="gramEnd"/>
      <w:r>
        <w:t xml:space="preserve"> </w:t>
      </w:r>
    </w:p>
    <w:p w14:paraId="52F075CB" w14:textId="77777777" w:rsidR="00A8538E" w:rsidRDefault="00A6768D">
      <w:pPr>
        <w:ind w:left="-5" w:right="0"/>
      </w:pPr>
      <w:r>
        <w:t xml:space="preserve">-de l'ensemble des éléments fixés à l'article 29 du décret 93.1268 du 29 novembre 1993. </w:t>
      </w:r>
    </w:p>
    <w:p w14:paraId="6DE3D62B" w14:textId="77777777" w:rsidR="00A8538E" w:rsidRDefault="00A6768D">
      <w:pPr>
        <w:spacing w:after="43" w:line="259" w:lineRule="auto"/>
        <w:ind w:left="0" w:right="0" w:firstLine="0"/>
        <w:jc w:val="left"/>
      </w:pPr>
      <w:r>
        <w:rPr>
          <w:sz w:val="16"/>
        </w:rPr>
        <w:t xml:space="preserve"> </w:t>
      </w:r>
    </w:p>
    <w:p w14:paraId="589C1F43" w14:textId="77777777" w:rsidR="00A8538E" w:rsidRDefault="00A6768D">
      <w:pPr>
        <w:ind w:left="-5" w:right="0"/>
      </w:pPr>
      <w:r>
        <w:t>Le montant prévisionnel des travaux (</w:t>
      </w:r>
      <w:proofErr w:type="spellStart"/>
      <w:r>
        <w:t>Mp</w:t>
      </w:r>
      <w:proofErr w:type="spellEnd"/>
      <w:r>
        <w:t xml:space="preserve">) est estimé sur la base du mois « Mo Études ». Ces éléments seront notifiés au maître d'œuvre.  </w:t>
      </w:r>
    </w:p>
    <w:p w14:paraId="7868400D" w14:textId="77777777" w:rsidR="00A8538E" w:rsidRDefault="00A6768D">
      <w:pPr>
        <w:spacing w:after="0" w:line="259" w:lineRule="auto"/>
        <w:ind w:left="0" w:right="0" w:firstLine="0"/>
        <w:jc w:val="left"/>
      </w:pPr>
      <w:r>
        <w:t xml:space="preserve"> </w:t>
      </w:r>
    </w:p>
    <w:p w14:paraId="526E3672" w14:textId="15DAAC2F" w:rsidR="00A8538E" w:rsidRDefault="00A6768D">
      <w:pPr>
        <w:pStyle w:val="Titre3"/>
        <w:ind w:left="-5"/>
      </w:pPr>
      <w:r>
        <w:t>-Forfait définitif de rémunération (</w:t>
      </w:r>
      <w:proofErr w:type="spellStart"/>
      <w:r>
        <w:t>Fd</w:t>
      </w:r>
      <w:proofErr w:type="spellEnd"/>
      <w:r>
        <w:t xml:space="preserve">)  </w:t>
      </w:r>
    </w:p>
    <w:p w14:paraId="692B99D7" w14:textId="77777777" w:rsidR="00A8538E" w:rsidRDefault="00A6768D">
      <w:pPr>
        <w:spacing w:after="13" w:line="259" w:lineRule="auto"/>
        <w:ind w:left="0" w:right="0" w:firstLine="0"/>
        <w:jc w:val="left"/>
      </w:pPr>
      <w:r>
        <w:rPr>
          <w:i/>
        </w:rPr>
        <w:t xml:space="preserve"> </w:t>
      </w:r>
    </w:p>
    <w:p w14:paraId="48B9B28F" w14:textId="77777777" w:rsidR="00A8538E" w:rsidRDefault="00A6768D">
      <w:pPr>
        <w:ind w:left="-5" w:right="0"/>
      </w:pPr>
      <w:r>
        <w:t xml:space="preserve">La rémunération provisoire devient définitive lors de l’acceptation par les maîtres d’ouvrage de l’élément de mission « PRO », avant le lancement de la procédure de passation du ou des contrats de travaux </w:t>
      </w:r>
    </w:p>
    <w:p w14:paraId="1703EF8B" w14:textId="77777777" w:rsidR="00A8538E" w:rsidRDefault="00A6768D">
      <w:pPr>
        <w:ind w:left="-5" w:right="0"/>
      </w:pPr>
      <w:r>
        <w:t>(</w:t>
      </w:r>
      <w:proofErr w:type="gramStart"/>
      <w:r>
        <w:t>article</w:t>
      </w:r>
      <w:proofErr w:type="gramEnd"/>
      <w:r>
        <w:t xml:space="preserve"> 30 du décret 93-1268 du 29 novembre 1993) et de l’engagement du maitre d’œuvre sur l’estimation prévisionnelle définitive des travaux. La rémunération du maître d'œuvre est ensuite fixée définitivement, sur la base du coût prévisionnel définitif des travaux, arrêté par voie d'avenant. </w:t>
      </w:r>
    </w:p>
    <w:p w14:paraId="0D0967F0" w14:textId="77777777" w:rsidR="00A8538E" w:rsidRDefault="00A6768D">
      <w:pPr>
        <w:spacing w:after="40" w:line="259" w:lineRule="auto"/>
        <w:ind w:left="0" w:right="0" w:firstLine="0"/>
        <w:jc w:val="left"/>
      </w:pPr>
      <w:r>
        <w:rPr>
          <w:sz w:val="16"/>
        </w:rPr>
        <w:t xml:space="preserve"> </w:t>
      </w:r>
    </w:p>
    <w:p w14:paraId="3CE51DC2" w14:textId="77777777" w:rsidR="00A8538E" w:rsidRDefault="00A6768D">
      <w:pPr>
        <w:ind w:left="-5" w:right="0"/>
      </w:pPr>
      <w:r>
        <w:t xml:space="preserve">L'estimation définitive du projet prendra aussi en compte les évolutions du projet acceptées par les maîtres d'ouvrage.  </w:t>
      </w:r>
    </w:p>
    <w:p w14:paraId="3CB35E77" w14:textId="77777777" w:rsidR="00A8538E" w:rsidRDefault="00A6768D">
      <w:pPr>
        <w:spacing w:after="0" w:line="259" w:lineRule="auto"/>
        <w:ind w:left="0" w:right="0" w:firstLine="0"/>
        <w:jc w:val="left"/>
      </w:pPr>
      <w:r>
        <w:t xml:space="preserve"> </w:t>
      </w:r>
    </w:p>
    <w:p w14:paraId="483BBD8B" w14:textId="77777777" w:rsidR="00A8538E" w:rsidRDefault="00A6768D">
      <w:pPr>
        <w:ind w:left="-5" w:right="0"/>
      </w:pPr>
      <w:r>
        <w:t>Le réajustement du nouveau montant prévisionnel des travaux au mois Mo Études s'effectue par un coefficient de réajustement égal au rapport de l’Index Travaux Publics - TP01 - base 2010 : Index général TP pour l'ensemble des travaux.</w:t>
      </w:r>
    </w:p>
    <w:p w14:paraId="36E34DD2" w14:textId="77777777" w:rsidR="00A8538E" w:rsidRDefault="00A6768D">
      <w:pPr>
        <w:ind w:left="-5" w:right="0"/>
      </w:pPr>
      <w:r>
        <w:t xml:space="preserve">Pour passer le forfait de rémunération provisoire en définitif, la formule suivante sera appliquée : </w:t>
      </w:r>
    </w:p>
    <w:p w14:paraId="492D4057" w14:textId="77777777" w:rsidR="00A8538E" w:rsidRDefault="00A6768D">
      <w:pPr>
        <w:spacing w:after="0" w:line="259" w:lineRule="auto"/>
        <w:ind w:left="0" w:right="0" w:firstLine="0"/>
        <w:jc w:val="left"/>
      </w:pPr>
      <w:r>
        <w:t xml:space="preserve"> </w:t>
      </w:r>
    </w:p>
    <w:p w14:paraId="680A1548" w14:textId="77777777" w:rsidR="00A8538E" w:rsidRDefault="00A6768D">
      <w:pPr>
        <w:ind w:left="-5" w:right="0"/>
      </w:pPr>
      <w:r>
        <w:lastRenderedPageBreak/>
        <w:t xml:space="preserve">Le forfait définitif de rémunération est le produit du taux de rémunération « tr » fixé à l’acte d’engagement par le montant définitif (Md) de l’élément PRO validé sur lequel s’engage le maître d’œuvre :  </w:t>
      </w:r>
    </w:p>
    <w:p w14:paraId="65DF5687" w14:textId="77777777" w:rsidR="00A8538E" w:rsidRDefault="00A6768D">
      <w:pPr>
        <w:spacing w:after="0" w:line="259" w:lineRule="auto"/>
        <w:ind w:left="0" w:right="0" w:firstLine="0"/>
        <w:jc w:val="left"/>
      </w:pPr>
      <w:r>
        <w:t xml:space="preserve"> </w:t>
      </w:r>
    </w:p>
    <w:p w14:paraId="44075E0C" w14:textId="77777777" w:rsidR="00A8538E" w:rsidRDefault="00A6768D">
      <w:pPr>
        <w:ind w:left="-5" w:right="0"/>
      </w:pPr>
      <w:r>
        <w:t xml:space="preserve">Si Md ≤1,05 x </w:t>
      </w:r>
      <w:proofErr w:type="spellStart"/>
      <w:r>
        <w:t>Mp</w:t>
      </w:r>
      <w:proofErr w:type="spellEnd"/>
      <w:r>
        <w:t xml:space="preserve">,  </w:t>
      </w:r>
    </w:p>
    <w:p w14:paraId="69AFC680" w14:textId="77777777" w:rsidR="00A8538E" w:rsidRDefault="00A6768D">
      <w:pPr>
        <w:spacing w:after="0" w:line="259" w:lineRule="auto"/>
        <w:ind w:left="0" w:right="0" w:firstLine="0"/>
        <w:jc w:val="left"/>
      </w:pPr>
      <w:r>
        <w:t xml:space="preserve"> </w:t>
      </w:r>
    </w:p>
    <w:p w14:paraId="175F1C08" w14:textId="77777777" w:rsidR="00A8538E" w:rsidRDefault="00A6768D">
      <w:pPr>
        <w:ind w:left="-5" w:right="0"/>
      </w:pPr>
      <w:r>
        <w:t xml:space="preserve">Alors, le forfait de rémunération définitif sera égal au forfait de rémunération provisoire donc </w:t>
      </w:r>
      <w:proofErr w:type="spellStart"/>
      <w:r>
        <w:t>Fd</w:t>
      </w:r>
      <w:proofErr w:type="spellEnd"/>
      <w:r>
        <w:t xml:space="preserve"> = </w:t>
      </w:r>
      <w:proofErr w:type="spellStart"/>
      <w:r>
        <w:t>Fp</w:t>
      </w:r>
      <w:proofErr w:type="spellEnd"/>
      <w:r>
        <w:t xml:space="preserve">.  </w:t>
      </w:r>
    </w:p>
    <w:p w14:paraId="36C3183A" w14:textId="77777777" w:rsidR="00A8538E" w:rsidRDefault="00A6768D">
      <w:pPr>
        <w:spacing w:after="0" w:line="259" w:lineRule="auto"/>
        <w:ind w:left="0" w:right="0" w:firstLine="0"/>
        <w:jc w:val="left"/>
      </w:pPr>
      <w:r>
        <w:t xml:space="preserve"> </w:t>
      </w:r>
    </w:p>
    <w:p w14:paraId="7585412F" w14:textId="77777777" w:rsidR="00A8538E" w:rsidRDefault="00A6768D">
      <w:pPr>
        <w:ind w:left="-5" w:right="0"/>
      </w:pPr>
      <w:r>
        <w:t xml:space="preserve">Si Md &gt; 1,05 x </w:t>
      </w:r>
      <w:proofErr w:type="spellStart"/>
      <w:r>
        <w:t>Mp</w:t>
      </w:r>
      <w:proofErr w:type="spellEnd"/>
      <w:r>
        <w:t xml:space="preserve">,  </w:t>
      </w:r>
    </w:p>
    <w:p w14:paraId="1422994B" w14:textId="77777777" w:rsidR="00A8538E" w:rsidRDefault="00A6768D">
      <w:pPr>
        <w:spacing w:after="0" w:line="259" w:lineRule="auto"/>
        <w:ind w:left="0" w:right="0" w:firstLine="0"/>
        <w:jc w:val="left"/>
      </w:pPr>
      <w:r>
        <w:t xml:space="preserve"> </w:t>
      </w:r>
    </w:p>
    <w:p w14:paraId="0E5F9769" w14:textId="77777777" w:rsidR="00A8538E" w:rsidRDefault="00A6768D">
      <w:pPr>
        <w:ind w:left="-5" w:right="0"/>
      </w:pPr>
      <w:r>
        <w:t xml:space="preserve">Le forfait de rémunération définitif sera obtenu par application du taux de rémunération défini à l'article </w:t>
      </w:r>
    </w:p>
    <w:p w14:paraId="04403D5D" w14:textId="5BADAF7B" w:rsidR="00A8538E" w:rsidRDefault="006D3D8C">
      <w:pPr>
        <w:ind w:left="-5" w:right="0"/>
      </w:pPr>
      <w:r>
        <w:t>2</w:t>
      </w:r>
      <w:r w:rsidR="00A6768D">
        <w:t xml:space="preserve"> de l'Acte d'Engagement au montant définitif (Md) de l’élément PRO validé selon la formule :  </w:t>
      </w:r>
    </w:p>
    <w:p w14:paraId="2F7EBE53" w14:textId="77777777" w:rsidR="00A8538E" w:rsidRDefault="00A6768D">
      <w:pPr>
        <w:spacing w:after="0" w:line="259" w:lineRule="auto"/>
        <w:ind w:left="0" w:right="0" w:firstLine="0"/>
        <w:jc w:val="left"/>
      </w:pPr>
      <w:r>
        <w:t xml:space="preserve"> </w:t>
      </w:r>
    </w:p>
    <w:p w14:paraId="2C585011" w14:textId="77777777" w:rsidR="00A8538E" w:rsidRDefault="00A6768D">
      <w:pPr>
        <w:ind w:left="-5" w:right="0"/>
      </w:pPr>
      <w:proofErr w:type="spellStart"/>
      <w:r>
        <w:t>Fd</w:t>
      </w:r>
      <w:proofErr w:type="spellEnd"/>
      <w:r>
        <w:t xml:space="preserve"> = Md </w:t>
      </w:r>
      <w:proofErr w:type="gramStart"/>
      <w:r>
        <w:t>x(</w:t>
      </w:r>
      <w:proofErr w:type="gramEnd"/>
      <w:r>
        <w:t xml:space="preserve">0,95 x tr ) </w:t>
      </w:r>
    </w:p>
    <w:p w14:paraId="530474D1" w14:textId="77777777" w:rsidR="00A8538E" w:rsidRDefault="00A6768D">
      <w:pPr>
        <w:spacing w:after="13" w:line="259" w:lineRule="auto"/>
        <w:ind w:left="0" w:right="0" w:firstLine="0"/>
        <w:jc w:val="left"/>
      </w:pPr>
      <w:r>
        <w:t xml:space="preserve"> </w:t>
      </w:r>
    </w:p>
    <w:p w14:paraId="6D024B31" w14:textId="77777777" w:rsidR="00A8538E" w:rsidRDefault="00A6768D">
      <w:pPr>
        <w:ind w:left="-5" w:right="0"/>
      </w:pPr>
      <w:proofErr w:type="gramStart"/>
      <w:r>
        <w:t>tr</w:t>
      </w:r>
      <w:proofErr w:type="gramEnd"/>
      <w:r>
        <w:t xml:space="preserve"> : taux de rémunération fixé à l’article 5.5 de l’Acte d’Engagement </w:t>
      </w:r>
    </w:p>
    <w:p w14:paraId="0C0B8BC4" w14:textId="77777777" w:rsidR="00A8538E" w:rsidRDefault="00A6768D">
      <w:pPr>
        <w:ind w:left="-5" w:right="0"/>
      </w:pPr>
      <w:proofErr w:type="spellStart"/>
      <w:r>
        <w:t>Fp</w:t>
      </w:r>
      <w:proofErr w:type="spellEnd"/>
      <w:r>
        <w:t xml:space="preserve">/Ep x 100 arrondie au centième supérieur  </w:t>
      </w:r>
    </w:p>
    <w:p w14:paraId="31FDA683" w14:textId="77777777" w:rsidR="00A8538E" w:rsidRDefault="00A6768D">
      <w:pPr>
        <w:ind w:left="-5" w:right="0"/>
      </w:pPr>
      <w:proofErr w:type="spellStart"/>
      <w:r>
        <w:t>Fp</w:t>
      </w:r>
      <w:proofErr w:type="spellEnd"/>
      <w:r>
        <w:t xml:space="preserve"> : Forfait provisoire de rémunération du MOE  </w:t>
      </w:r>
    </w:p>
    <w:p w14:paraId="6AE9ADEE" w14:textId="77777777" w:rsidR="00A8538E" w:rsidRDefault="00A6768D">
      <w:pPr>
        <w:ind w:left="-5" w:right="0"/>
      </w:pPr>
      <w:proofErr w:type="spellStart"/>
      <w:r>
        <w:t>Fd</w:t>
      </w:r>
      <w:proofErr w:type="spellEnd"/>
      <w:r>
        <w:t xml:space="preserve"> : Forfait définitif de rémunération du MOE  </w:t>
      </w:r>
    </w:p>
    <w:p w14:paraId="21C26219" w14:textId="77777777" w:rsidR="00A8538E" w:rsidRDefault="00A6768D">
      <w:pPr>
        <w:ind w:left="-5" w:right="0"/>
      </w:pPr>
      <w:proofErr w:type="spellStart"/>
      <w:r>
        <w:t>Mp</w:t>
      </w:r>
      <w:proofErr w:type="spellEnd"/>
      <w:r>
        <w:t xml:space="preserve"> : Montant prévisionnel des travaux  </w:t>
      </w:r>
    </w:p>
    <w:p w14:paraId="393A1C71" w14:textId="77777777" w:rsidR="00A8538E" w:rsidRDefault="00A6768D">
      <w:pPr>
        <w:ind w:left="-5" w:right="0"/>
      </w:pPr>
      <w:r>
        <w:t xml:space="preserve">Md : Montant définitif de l’élément PRO validé </w:t>
      </w:r>
    </w:p>
    <w:p w14:paraId="05620035" w14:textId="77777777" w:rsidR="00A8538E" w:rsidRDefault="00A6768D">
      <w:pPr>
        <w:spacing w:after="0" w:line="259" w:lineRule="auto"/>
        <w:ind w:left="0" w:right="0" w:firstLine="0"/>
        <w:jc w:val="left"/>
      </w:pPr>
      <w:r>
        <w:t xml:space="preserve"> </w:t>
      </w:r>
    </w:p>
    <w:p w14:paraId="1BAEACF9" w14:textId="4C1B114F" w:rsidR="00A8538E" w:rsidRDefault="00A6768D">
      <w:pPr>
        <w:ind w:left="-5" w:right="0"/>
      </w:pPr>
      <w:r>
        <w:t xml:space="preserve">Le forfait définitif sera limité en tout état de cause à une augmentation de </w:t>
      </w:r>
      <w:r w:rsidR="005851FE" w:rsidRPr="005851FE">
        <w:rPr>
          <w:color w:val="auto"/>
        </w:rPr>
        <w:t>5</w:t>
      </w:r>
      <w:r>
        <w:t xml:space="preserve"> % du montant du forfait provisoire, sauf suggestions imprévisibles ou modifications substantielles du programme demandées par les maîtres d’ouvrage en cours d’étude. </w:t>
      </w:r>
    </w:p>
    <w:p w14:paraId="172E9D62" w14:textId="77777777" w:rsidR="00A8538E" w:rsidRDefault="00A6768D">
      <w:pPr>
        <w:spacing w:after="0" w:line="259" w:lineRule="auto"/>
        <w:ind w:left="0" w:right="0" w:firstLine="0"/>
        <w:jc w:val="left"/>
      </w:pPr>
      <w:r>
        <w:t xml:space="preserve"> </w:t>
      </w:r>
    </w:p>
    <w:p w14:paraId="725872AB" w14:textId="77777777" w:rsidR="00A8538E" w:rsidRDefault="00A6768D">
      <w:pPr>
        <w:ind w:left="-5" w:right="0"/>
      </w:pPr>
      <w:r>
        <w:t xml:space="preserve">Ce forfait définitif ne peut être réévalué ultérieurement que dans les cas suivants : </w:t>
      </w:r>
    </w:p>
    <w:p w14:paraId="4634018F" w14:textId="77777777" w:rsidR="00A8538E" w:rsidRDefault="00A6768D">
      <w:pPr>
        <w:spacing w:after="0" w:line="259" w:lineRule="auto"/>
        <w:ind w:left="0" w:right="0" w:firstLine="0"/>
        <w:jc w:val="left"/>
      </w:pPr>
      <w:r>
        <w:t xml:space="preserve"> </w:t>
      </w:r>
    </w:p>
    <w:p w14:paraId="542C931B" w14:textId="77777777" w:rsidR="00A8538E" w:rsidRDefault="00A6768D">
      <w:pPr>
        <w:numPr>
          <w:ilvl w:val="0"/>
          <w:numId w:val="3"/>
        </w:numPr>
        <w:ind w:right="0" w:hanging="137"/>
      </w:pPr>
      <w:r>
        <w:t xml:space="preserve">Si en cours d'exécution du marché, les maîtres d’ouvrage décident d'apporter des compléments au programme ou demande des travaux supplémentaires conduisant à des modifications dans la consistance de l’opération, leur incidence financière sur l'estimation prévisionnelle des travaux doit être chiffrée et un nouveau forfait de rémunération est alors fixé par avenant, sauf à ce que l’incidence financière permette de demeurer dans une augmentation inférieure ou égale à 5 % auquel cas le forfait de rémunération resterait inchangé.  </w:t>
      </w:r>
    </w:p>
    <w:p w14:paraId="4D144993" w14:textId="77777777" w:rsidR="00A8538E" w:rsidRDefault="00A6768D">
      <w:pPr>
        <w:spacing w:after="0" w:line="259" w:lineRule="auto"/>
        <w:ind w:left="0" w:right="0" w:firstLine="0"/>
        <w:jc w:val="left"/>
      </w:pPr>
      <w:r>
        <w:lastRenderedPageBreak/>
        <w:t xml:space="preserve"> </w:t>
      </w:r>
    </w:p>
    <w:p w14:paraId="1E577348" w14:textId="77777777" w:rsidR="00A8538E" w:rsidRDefault="00A6768D">
      <w:pPr>
        <w:numPr>
          <w:ilvl w:val="0"/>
          <w:numId w:val="3"/>
        </w:numPr>
        <w:ind w:right="0" w:hanging="137"/>
      </w:pPr>
      <w:proofErr w:type="gramStart"/>
      <w:r>
        <w:t>aléas</w:t>
      </w:r>
      <w:proofErr w:type="gramEnd"/>
      <w:r>
        <w:t xml:space="preserve"> non prévisibles lors des missions d'études (nouvelles réglementations,...). </w:t>
      </w:r>
    </w:p>
    <w:p w14:paraId="1BEE53B2" w14:textId="77777777" w:rsidR="00A8538E" w:rsidRDefault="00A6768D">
      <w:pPr>
        <w:spacing w:after="0" w:line="259" w:lineRule="auto"/>
        <w:ind w:left="0" w:right="0" w:firstLine="0"/>
        <w:jc w:val="left"/>
      </w:pPr>
      <w:r>
        <w:t xml:space="preserve"> </w:t>
      </w:r>
    </w:p>
    <w:p w14:paraId="210D9288" w14:textId="77777777" w:rsidR="00A8538E" w:rsidRDefault="00A6768D">
      <w:pPr>
        <w:ind w:left="-5" w:right="0"/>
      </w:pPr>
      <w:r>
        <w:t xml:space="preserve">Ce forfait est exclusif de tout autre émolument au remboursement de frais au titre de la même mission.  </w:t>
      </w:r>
    </w:p>
    <w:p w14:paraId="20BB2E18" w14:textId="77777777" w:rsidR="00A8538E" w:rsidRDefault="00A6768D">
      <w:pPr>
        <w:ind w:left="-5" w:right="0"/>
      </w:pPr>
      <w:r>
        <w:t xml:space="preserve">La rémunération du marché est forfaitaire pour l’exécution des prestations décrites dans le présent CCP même si la durée d’exécution des travaux est prolongée.  </w:t>
      </w:r>
    </w:p>
    <w:p w14:paraId="47E41B85" w14:textId="77777777" w:rsidR="00A8538E" w:rsidRDefault="00A6768D">
      <w:pPr>
        <w:spacing w:after="19" w:line="259" w:lineRule="auto"/>
        <w:ind w:left="0" w:right="0" w:firstLine="0"/>
        <w:jc w:val="left"/>
      </w:pPr>
      <w:r>
        <w:t xml:space="preserve"> </w:t>
      </w:r>
    </w:p>
    <w:p w14:paraId="15009E20" w14:textId="77777777" w:rsidR="00A8538E" w:rsidRDefault="00A6768D">
      <w:pPr>
        <w:ind w:left="-5" w:right="0"/>
      </w:pPr>
      <w:r>
        <w:t xml:space="preserve">Le maître d’œuvre s’engage à ne percevoir aucune autre rémunération dans le cadre de la réalisation de l’opération. De plus, toute modification des dispositions contractuelles fera l'objet d'un avenant pour tenir compte notamment : </w:t>
      </w:r>
    </w:p>
    <w:p w14:paraId="53BEFF2D" w14:textId="77777777" w:rsidR="00A8538E" w:rsidRDefault="00A6768D">
      <w:pPr>
        <w:spacing w:after="17" w:line="259" w:lineRule="auto"/>
        <w:ind w:left="0" w:right="0" w:firstLine="0"/>
        <w:jc w:val="left"/>
      </w:pPr>
      <w:r>
        <w:t xml:space="preserve"> </w:t>
      </w:r>
    </w:p>
    <w:p w14:paraId="61503B1C" w14:textId="77777777" w:rsidR="00A8538E" w:rsidRDefault="00A6768D">
      <w:pPr>
        <w:numPr>
          <w:ilvl w:val="0"/>
          <w:numId w:val="3"/>
        </w:numPr>
        <w:spacing w:after="26"/>
        <w:ind w:right="0" w:hanging="137"/>
      </w:pPr>
      <w:proofErr w:type="gramStart"/>
      <w:r>
        <w:t>des</w:t>
      </w:r>
      <w:proofErr w:type="gramEnd"/>
      <w:r>
        <w:t xml:space="preserve"> conséquences sur le marché de maîtrise d'œuvre, de l'évolution du programme et de  l'enveloppe financière prévisionnelle, conformément aux dispositions de l'article 2-1 de la loi MOP ;   - des modifications éventuelles dans le contenu ou la complexité des prestations de maîtrise  d'œuvre résultant des modifications de programme ou de prestations décidées par les maître  d'ouvrage, conformément à l'article 30-3 du décret 93-1268 du 29 novembre 1993 ;  </w:t>
      </w:r>
    </w:p>
    <w:p w14:paraId="5DF8923D" w14:textId="77777777" w:rsidR="00A8538E" w:rsidRDefault="00A6768D">
      <w:pPr>
        <w:numPr>
          <w:ilvl w:val="0"/>
          <w:numId w:val="3"/>
        </w:numPr>
        <w:ind w:right="0" w:hanging="137"/>
      </w:pPr>
      <w:proofErr w:type="gramStart"/>
      <w:r>
        <w:t>des</w:t>
      </w:r>
      <w:proofErr w:type="gramEnd"/>
      <w:r>
        <w:t xml:space="preserve"> aléas non imputables à la maîtrise d'œuvre ;  </w:t>
      </w:r>
    </w:p>
    <w:p w14:paraId="240F0BAC" w14:textId="77777777" w:rsidR="00A8538E" w:rsidRDefault="00A6768D">
      <w:pPr>
        <w:numPr>
          <w:ilvl w:val="0"/>
          <w:numId w:val="3"/>
        </w:numPr>
        <w:ind w:right="0" w:hanging="137"/>
      </w:pPr>
      <w:proofErr w:type="gramStart"/>
      <w:r>
        <w:t>des</w:t>
      </w:r>
      <w:proofErr w:type="gramEnd"/>
      <w:r>
        <w:t xml:space="preserve"> modifications de phasage ou des délais de réalisation des études ou des travaux ;  </w:t>
      </w:r>
    </w:p>
    <w:p w14:paraId="703F9355" w14:textId="77777777" w:rsidR="00A8538E" w:rsidRDefault="00A6768D">
      <w:pPr>
        <w:numPr>
          <w:ilvl w:val="0"/>
          <w:numId w:val="3"/>
        </w:numPr>
        <w:ind w:right="0" w:hanging="137"/>
      </w:pPr>
      <w:proofErr w:type="gramStart"/>
      <w:r>
        <w:t>du</w:t>
      </w:r>
      <w:proofErr w:type="gramEnd"/>
      <w:r>
        <w:t xml:space="preserve"> suivi des réserves formulées lors de la réception et dont la levée n’a pu être obtenue avant la fin du délai d’un an de garantie de parfait achèvement et pour des raisons indépendantes de l’action du maître d’œuvre ;  </w:t>
      </w:r>
    </w:p>
    <w:p w14:paraId="52041984" w14:textId="77777777" w:rsidR="00A8538E" w:rsidRDefault="00A6768D">
      <w:pPr>
        <w:numPr>
          <w:ilvl w:val="0"/>
          <w:numId w:val="3"/>
        </w:numPr>
        <w:spacing w:after="25"/>
        <w:ind w:right="0" w:hanging="137"/>
      </w:pPr>
      <w:proofErr w:type="gramStart"/>
      <w:r>
        <w:t>du</w:t>
      </w:r>
      <w:proofErr w:type="gramEnd"/>
      <w:r>
        <w:t xml:space="preserve"> suivi des désordres apparus après la réception des travaux et avant l’issue de la garantie de  parfait achèvement ;  </w:t>
      </w:r>
    </w:p>
    <w:p w14:paraId="0253BDB1" w14:textId="77777777" w:rsidR="00A8538E" w:rsidRDefault="00A6768D">
      <w:pPr>
        <w:numPr>
          <w:ilvl w:val="0"/>
          <w:numId w:val="3"/>
        </w:numPr>
        <w:ind w:right="0" w:hanging="137"/>
      </w:pPr>
      <w:proofErr w:type="gramStart"/>
      <w:r>
        <w:t>du</w:t>
      </w:r>
      <w:proofErr w:type="gramEnd"/>
      <w:r>
        <w:t xml:space="preserve"> suivi d’entretien des plantations durant trois ans après leurs plantations. </w:t>
      </w:r>
    </w:p>
    <w:p w14:paraId="61A0CF85" w14:textId="77777777" w:rsidR="00F30437" w:rsidRDefault="00F30437">
      <w:pPr>
        <w:numPr>
          <w:ilvl w:val="0"/>
          <w:numId w:val="3"/>
        </w:numPr>
        <w:ind w:right="0" w:hanging="137"/>
      </w:pPr>
    </w:p>
    <w:p w14:paraId="7145FF34" w14:textId="77777777" w:rsidR="00A8538E" w:rsidRDefault="00A6768D">
      <w:pPr>
        <w:pStyle w:val="Titre2"/>
        <w:ind w:left="-5"/>
      </w:pPr>
      <w:bookmarkStart w:id="14" w:name="_Toc513628502"/>
      <w:r>
        <w:t>Article 3-3 Révision des prix unitaires</w:t>
      </w:r>
      <w:bookmarkEnd w:id="14"/>
      <w:r>
        <w:rPr>
          <w:u w:val="none"/>
        </w:rPr>
        <w:t xml:space="preserve"> </w:t>
      </w:r>
    </w:p>
    <w:p w14:paraId="255C4F39" w14:textId="77777777" w:rsidR="00A8538E" w:rsidRDefault="00A6768D">
      <w:pPr>
        <w:spacing w:after="19" w:line="259" w:lineRule="auto"/>
        <w:ind w:left="0" w:right="0" w:firstLine="0"/>
        <w:jc w:val="left"/>
      </w:pPr>
      <w:r>
        <w:rPr>
          <w:sz w:val="18"/>
        </w:rPr>
        <w:t xml:space="preserve"> </w:t>
      </w:r>
    </w:p>
    <w:p w14:paraId="615815BF" w14:textId="77777777" w:rsidR="00770703" w:rsidRPr="00770703" w:rsidRDefault="00770703" w:rsidP="00770703">
      <w:pPr>
        <w:pStyle w:val="REFERENCE"/>
        <w:spacing w:after="0"/>
        <w:jc w:val="both"/>
        <w:rPr>
          <w:rFonts w:ascii="Arial" w:hAnsi="Arial" w:cs="Arial"/>
          <w:b w:val="0"/>
          <w:bCs w:val="0"/>
          <w:sz w:val="22"/>
          <w:szCs w:val="22"/>
        </w:rPr>
      </w:pPr>
      <w:r w:rsidRPr="00770703">
        <w:rPr>
          <w:rFonts w:ascii="Arial" w:hAnsi="Arial" w:cs="Arial"/>
          <w:b w:val="0"/>
          <w:bCs w:val="0"/>
          <w:sz w:val="22"/>
          <w:szCs w:val="22"/>
        </w:rPr>
        <w:t>Les prix du présent marché sont réputés établis sur la base des conditions économiques du mois précédant la date limite de remise des offres, ce mois est appelé " mois zéro".</w:t>
      </w:r>
    </w:p>
    <w:p w14:paraId="0B472AA3" w14:textId="77777777" w:rsidR="00770703" w:rsidRDefault="00770703">
      <w:pPr>
        <w:ind w:left="-5" w:right="0"/>
      </w:pPr>
    </w:p>
    <w:p w14:paraId="70C64BDB" w14:textId="77777777" w:rsidR="00770703" w:rsidRPr="00666BCD" w:rsidRDefault="00770703" w:rsidP="00770703">
      <w:pPr>
        <w:numPr>
          <w:ilvl w:val="12"/>
          <w:numId w:val="0"/>
        </w:numPr>
      </w:pPr>
      <w:r w:rsidRPr="00666BCD">
        <w:t xml:space="preserve">La révision est applicable à l'ensemble des </w:t>
      </w:r>
      <w:r>
        <w:t>prestations.</w:t>
      </w:r>
      <w:r w:rsidRPr="00666BCD">
        <w:t xml:space="preserve"> La périodicité de la révision suit la périodicité des acomptes.</w:t>
      </w:r>
    </w:p>
    <w:p w14:paraId="02591137" w14:textId="77777777" w:rsidR="00770703" w:rsidRPr="00666BCD" w:rsidRDefault="00770703" w:rsidP="00770703">
      <w:pPr>
        <w:numPr>
          <w:ilvl w:val="12"/>
          <w:numId w:val="0"/>
        </w:numPr>
      </w:pPr>
    </w:p>
    <w:p w14:paraId="2DF619D0" w14:textId="77777777" w:rsidR="00770703" w:rsidRPr="00942358" w:rsidRDefault="00770703" w:rsidP="00770703">
      <w:pPr>
        <w:numPr>
          <w:ilvl w:val="12"/>
          <w:numId w:val="0"/>
        </w:numPr>
      </w:pPr>
      <w:r w:rsidRPr="00942358">
        <w:t>La révision s'effectue dans les conditions suivantes : le calcul de la révision est à la charge du titulaire.</w:t>
      </w:r>
    </w:p>
    <w:p w14:paraId="55490832" w14:textId="77777777" w:rsidR="00770703" w:rsidRPr="00666BCD" w:rsidRDefault="00770703" w:rsidP="00770703">
      <w:pPr>
        <w:numPr>
          <w:ilvl w:val="12"/>
          <w:numId w:val="0"/>
        </w:numPr>
        <w:rPr>
          <w:color w:val="FF0000"/>
        </w:rPr>
      </w:pPr>
    </w:p>
    <w:p w14:paraId="6DCC4984" w14:textId="77777777" w:rsidR="00770703" w:rsidRPr="00666BCD" w:rsidRDefault="00770703" w:rsidP="00770703">
      <w:pPr>
        <w:numPr>
          <w:ilvl w:val="12"/>
          <w:numId w:val="0"/>
        </w:numPr>
      </w:pPr>
      <w:r w:rsidRPr="00666BCD">
        <w:t>Le marché est conclu à prix révisable pendant toute la durée du marché selon la formule suivante :</w:t>
      </w:r>
    </w:p>
    <w:p w14:paraId="512D479C" w14:textId="77777777" w:rsidR="00770703" w:rsidRDefault="00770703" w:rsidP="00770703">
      <w:pPr>
        <w:ind w:left="-5" w:right="0"/>
      </w:pPr>
      <w:r>
        <w:t xml:space="preserve"> </w:t>
      </w:r>
    </w:p>
    <w:p w14:paraId="512112D9" w14:textId="77777777" w:rsidR="00A8538E" w:rsidRDefault="00A6768D" w:rsidP="00770703">
      <w:pPr>
        <w:ind w:left="-5" w:right="0"/>
      </w:pPr>
      <w:proofErr w:type="spellStart"/>
      <w:r>
        <w:t>Cn</w:t>
      </w:r>
      <w:proofErr w:type="spellEnd"/>
      <w:r>
        <w:t xml:space="preserve"> = 15,00% + 85,00% (In/Io) </w:t>
      </w:r>
    </w:p>
    <w:p w14:paraId="7CDCED3D" w14:textId="77777777" w:rsidR="00770703" w:rsidRDefault="00770703" w:rsidP="00770703">
      <w:pPr>
        <w:ind w:left="-5" w:right="0"/>
      </w:pPr>
    </w:p>
    <w:p w14:paraId="42863844" w14:textId="77777777" w:rsidR="00770703" w:rsidRPr="00666BCD" w:rsidRDefault="00770703" w:rsidP="00770703">
      <w:pPr>
        <w:numPr>
          <w:ilvl w:val="12"/>
          <w:numId w:val="0"/>
        </w:numPr>
      </w:pPr>
      <w:proofErr w:type="gramStart"/>
      <w:r w:rsidRPr="00666BCD">
        <w:t>où</w:t>
      </w:r>
      <w:proofErr w:type="gramEnd"/>
      <w:r w:rsidRPr="00666BCD">
        <w:t xml:space="preserve"> Io et In sont les valeurs réelles de l'index 0 et au mois n correspondant au mois de la révision.</w:t>
      </w:r>
    </w:p>
    <w:p w14:paraId="32297354" w14:textId="77777777" w:rsidR="00770703" w:rsidRDefault="00770703" w:rsidP="00770703">
      <w:pPr>
        <w:ind w:left="-5" w:right="0"/>
      </w:pPr>
    </w:p>
    <w:p w14:paraId="5FC1F1CA" w14:textId="0AC1805B" w:rsidR="00A8538E" w:rsidRDefault="00A8538E">
      <w:pPr>
        <w:spacing w:after="19" w:line="259" w:lineRule="auto"/>
        <w:ind w:left="0" w:right="0" w:firstLine="0"/>
        <w:jc w:val="left"/>
      </w:pPr>
    </w:p>
    <w:p w14:paraId="2E65B8F6" w14:textId="77777777" w:rsidR="00A8538E" w:rsidRDefault="00A6768D">
      <w:pPr>
        <w:ind w:left="-5" w:right="0"/>
      </w:pPr>
      <w:r>
        <w:t xml:space="preserve">Les coefficients de révision sont arrondis au millième supérieur strict. </w:t>
      </w:r>
    </w:p>
    <w:p w14:paraId="0F758266" w14:textId="77777777" w:rsidR="00A8538E" w:rsidRDefault="00A6768D">
      <w:pPr>
        <w:ind w:left="-5" w:right="0"/>
      </w:pPr>
      <w:r>
        <w:t xml:space="preserve">Toutefois, lorsqu’une révision a été effectuée provisoirement en utilisant un index antérieur à celui qui doit être appliqué, il n’est procédé à aucune révision avant la variation définitive, laquelle intervient sur le premier acompte du marché suivant la parution de l’index correspondant. </w:t>
      </w:r>
    </w:p>
    <w:p w14:paraId="2A182C0B" w14:textId="77777777" w:rsidR="00A8538E" w:rsidRDefault="00A6768D">
      <w:pPr>
        <w:spacing w:after="19" w:line="259" w:lineRule="auto"/>
        <w:ind w:left="0" w:right="0" w:firstLine="0"/>
        <w:jc w:val="left"/>
      </w:pPr>
      <w:r>
        <w:rPr>
          <w:sz w:val="18"/>
        </w:rPr>
        <w:t xml:space="preserve"> </w:t>
      </w:r>
    </w:p>
    <w:p w14:paraId="7C5E632E" w14:textId="77777777" w:rsidR="00A8538E" w:rsidRDefault="00A6768D">
      <w:pPr>
        <w:ind w:left="-5" w:right="0"/>
      </w:pPr>
      <w:r>
        <w:t xml:space="preserve">L’index de référence I, publiés au Moniteur des Travaux Publics ou au Ministère de l’Écologie, du Développement durable et de l'Énergie et choisi en raison de sa structure est l’index ING Ingénierie (Missions Ingénierie et Architecture). </w:t>
      </w:r>
    </w:p>
    <w:p w14:paraId="4C0FDCF6" w14:textId="77777777" w:rsidR="00A8538E" w:rsidRDefault="00A6768D">
      <w:pPr>
        <w:spacing w:after="0" w:line="259" w:lineRule="auto"/>
        <w:ind w:left="0" w:right="0" w:firstLine="0"/>
        <w:jc w:val="left"/>
      </w:pPr>
      <w:r>
        <w:t xml:space="preserve"> </w:t>
      </w:r>
    </w:p>
    <w:p w14:paraId="179CAFF2" w14:textId="77777777" w:rsidR="00A8538E" w:rsidRDefault="00A6768D">
      <w:pPr>
        <w:pStyle w:val="Titre2"/>
        <w:ind w:left="-5"/>
      </w:pPr>
      <w:bookmarkStart w:id="15" w:name="_Toc513628503"/>
      <w:r>
        <w:t>Article 3-4 Modalités de paiement et intérêts moratoires</w:t>
      </w:r>
      <w:bookmarkEnd w:id="15"/>
      <w:r>
        <w:rPr>
          <w:u w:val="none"/>
        </w:rPr>
        <w:t xml:space="preserve"> </w:t>
      </w:r>
    </w:p>
    <w:p w14:paraId="7116A3F0" w14:textId="77777777" w:rsidR="00A8538E" w:rsidRDefault="00A6768D">
      <w:pPr>
        <w:spacing w:after="26" w:line="259" w:lineRule="auto"/>
        <w:ind w:left="0" w:right="0" w:firstLine="0"/>
        <w:jc w:val="left"/>
      </w:pPr>
      <w:r>
        <w:rPr>
          <w:sz w:val="18"/>
        </w:rPr>
        <w:t xml:space="preserve"> </w:t>
      </w:r>
    </w:p>
    <w:p w14:paraId="0C9C23E7" w14:textId="77777777" w:rsidR="00A8538E" w:rsidRDefault="00A6768D">
      <w:pPr>
        <w:ind w:left="-5" w:right="371"/>
      </w:pPr>
      <w:r>
        <w:t xml:space="preserve">Les communes, maitres d’ouvrage, se libéreront des sommes dues sur présentation des factures. </w:t>
      </w:r>
      <w:r>
        <w:rPr>
          <w:i/>
          <w:sz w:val="18"/>
        </w:rPr>
        <w:t xml:space="preserve"> </w:t>
      </w:r>
      <w:r>
        <w:t xml:space="preserve">Les paiements s’effectueront selon les règles de la comptabilité publique.  </w:t>
      </w:r>
    </w:p>
    <w:p w14:paraId="5D1A162E" w14:textId="77777777" w:rsidR="00A8538E" w:rsidRDefault="00A6768D">
      <w:pPr>
        <w:spacing w:after="19" w:line="259" w:lineRule="auto"/>
        <w:ind w:left="0" w:right="0" w:firstLine="0"/>
        <w:jc w:val="left"/>
      </w:pPr>
      <w:r>
        <w:rPr>
          <w:sz w:val="18"/>
        </w:rPr>
        <w:t xml:space="preserve"> </w:t>
      </w:r>
    </w:p>
    <w:p w14:paraId="4CD1C491" w14:textId="77777777" w:rsidR="000D7C3E" w:rsidRPr="000D7C3E" w:rsidRDefault="00A6768D" w:rsidP="000D7C3E">
      <w:pPr>
        <w:widowControl w:val="0"/>
        <w:rPr>
          <w:color w:val="FF0000"/>
        </w:rPr>
      </w:pPr>
      <w:r>
        <w:t>Le règlement des sommes dues au titre du marché s’effectuera dans un délai global de trente jours à compter de la date de réception de la demande de paiement par le pouvoir adjudicateur ou, si le contrat le prévoit, par le maître d’œuvre ou toute autre personne habilitée à cet effet</w:t>
      </w:r>
      <w:r w:rsidRPr="005851FE">
        <w:rPr>
          <w:color w:val="auto"/>
        </w:rPr>
        <w:t xml:space="preserve">. </w:t>
      </w:r>
      <w:r w:rsidR="000D7C3E" w:rsidRPr="005851FE">
        <w:rPr>
          <w:color w:val="auto"/>
        </w:rPr>
        <w:t xml:space="preserve">Le délai global de paiement, fixé à </w:t>
      </w:r>
      <w:r w:rsidR="000D7C3E" w:rsidRPr="005851FE">
        <w:rPr>
          <w:b/>
          <w:color w:val="auto"/>
        </w:rPr>
        <w:t>l’article 20-1 du Décret 2013-269 du 29 mars 2013</w:t>
      </w:r>
      <w:r w:rsidR="000D7C3E" w:rsidRPr="005851FE">
        <w:rPr>
          <w:color w:val="auto"/>
        </w:rPr>
        <w:t>, s’entend à dater de la réception de la facture acceptée sans réserve.</w:t>
      </w:r>
    </w:p>
    <w:p w14:paraId="266ED10F" w14:textId="77777777" w:rsidR="00A8538E" w:rsidRDefault="00A6768D">
      <w:pPr>
        <w:ind w:left="-5" w:right="0"/>
      </w:pPr>
      <w:r>
        <w:t xml:space="preserve">Tout dépassement du délai fait courir de plein droit et sans autres formalités des intérêts moratoires au profit du bénéficiaire du règlement ainsi que le versement automatique d’une indemnité forfaitaire pour frais de recouvrement d’un montant de quarante Euros. </w:t>
      </w:r>
    </w:p>
    <w:p w14:paraId="0456F2E3" w14:textId="77777777" w:rsidR="00A8538E" w:rsidRDefault="00A6768D">
      <w:pPr>
        <w:spacing w:after="21" w:line="259" w:lineRule="auto"/>
        <w:ind w:left="0" w:right="0" w:firstLine="0"/>
        <w:jc w:val="left"/>
      </w:pPr>
      <w:r>
        <w:rPr>
          <w:sz w:val="18"/>
        </w:rPr>
        <w:lastRenderedPageBreak/>
        <w:t xml:space="preserve"> </w:t>
      </w:r>
    </w:p>
    <w:p w14:paraId="16B0980E" w14:textId="77777777" w:rsidR="00A8538E" w:rsidRDefault="00A6768D">
      <w:pPr>
        <w:ind w:left="-5" w:right="0"/>
      </w:pPr>
      <w:r>
        <w:t xml:space="preserve">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w:t>
      </w:r>
      <w:r w:rsidRPr="00770703">
        <w:rPr>
          <w:strike/>
        </w:rPr>
        <w:t>huit</w:t>
      </w:r>
      <w:r>
        <w:t xml:space="preserve"> </w:t>
      </w:r>
      <w:r w:rsidR="00770703">
        <w:t xml:space="preserve">sept </w:t>
      </w:r>
      <w:r>
        <w:t xml:space="preserve">points. </w:t>
      </w:r>
    </w:p>
    <w:p w14:paraId="0FC5FD4C" w14:textId="77777777" w:rsidR="00A8538E" w:rsidRDefault="00A6768D">
      <w:pPr>
        <w:spacing w:after="19" w:line="259" w:lineRule="auto"/>
        <w:ind w:left="0" w:right="0" w:firstLine="0"/>
        <w:jc w:val="left"/>
      </w:pPr>
      <w:r>
        <w:rPr>
          <w:sz w:val="18"/>
        </w:rPr>
        <w:t xml:space="preserve"> </w:t>
      </w:r>
    </w:p>
    <w:p w14:paraId="39930688" w14:textId="77777777" w:rsidR="00A8538E" w:rsidRDefault="00A6768D">
      <w:pPr>
        <w:ind w:left="-5" w:right="0"/>
      </w:pPr>
      <w:r>
        <w:t xml:space="preserve">Les intérêts moratoires courent à compter du jour suivant l’échéance prévue au contrat ou à l’expiration du délai de paiement jusqu’à la date de mise en paiement du principal incluse. </w:t>
      </w:r>
    </w:p>
    <w:p w14:paraId="586E528A" w14:textId="77777777" w:rsidR="00A8538E" w:rsidRDefault="00A6768D">
      <w:pPr>
        <w:spacing w:after="19" w:line="259" w:lineRule="auto"/>
        <w:ind w:left="0" w:right="0" w:firstLine="0"/>
        <w:jc w:val="left"/>
      </w:pPr>
      <w:r>
        <w:rPr>
          <w:sz w:val="18"/>
        </w:rPr>
        <w:t xml:space="preserve"> </w:t>
      </w:r>
    </w:p>
    <w:p w14:paraId="1B616EBF" w14:textId="77777777" w:rsidR="00A8538E" w:rsidRDefault="00A6768D">
      <w:pPr>
        <w:ind w:left="-5" w:right="0"/>
      </w:pPr>
      <w:r>
        <w:t xml:space="preserve">Les intérêts moratoires et l’indemnité forfaitaire pour frais de recouvrement sont payés dans un délai de quarante-cinq jours suivant la mise en paiement du principal. </w:t>
      </w:r>
    </w:p>
    <w:p w14:paraId="03E25D79" w14:textId="77777777" w:rsidR="00A8538E" w:rsidRDefault="00A6768D">
      <w:pPr>
        <w:spacing w:after="19" w:line="259" w:lineRule="auto"/>
        <w:ind w:left="0" w:right="0" w:firstLine="0"/>
        <w:jc w:val="left"/>
      </w:pPr>
      <w:r>
        <w:rPr>
          <w:sz w:val="18"/>
        </w:rPr>
        <w:t xml:space="preserve"> </w:t>
      </w:r>
    </w:p>
    <w:p w14:paraId="1E289465" w14:textId="77777777" w:rsidR="00A8538E" w:rsidRDefault="00A6768D">
      <w:pPr>
        <w:ind w:left="-5" w:right="0"/>
      </w:pPr>
      <w:r>
        <w:t>Le</w:t>
      </w:r>
      <w:r w:rsidR="00F30437">
        <w:t>s</w:t>
      </w:r>
      <w:r>
        <w:t xml:space="preserve"> comptable</w:t>
      </w:r>
      <w:r w:rsidR="00F30437">
        <w:t>s</w:t>
      </w:r>
      <w:r>
        <w:t xml:space="preserve"> public</w:t>
      </w:r>
      <w:r w:rsidR="00F30437">
        <w:t>s</w:t>
      </w:r>
      <w:r>
        <w:t xml:space="preserve"> assignataire des paiements </w:t>
      </w:r>
      <w:r w:rsidR="00F30437">
        <w:t>sont</w:t>
      </w:r>
      <w:r>
        <w:t xml:space="preserve"> le</w:t>
      </w:r>
      <w:r w:rsidR="00F30437">
        <w:t>s</w:t>
      </w:r>
      <w:r>
        <w:t xml:space="preserve"> trésorier</w:t>
      </w:r>
      <w:r w:rsidR="00F30437">
        <w:t>s</w:t>
      </w:r>
      <w:r>
        <w:t xml:space="preserve"> de chacune </w:t>
      </w:r>
      <w:proofErr w:type="gramStart"/>
      <w:r>
        <w:t xml:space="preserve">des </w:t>
      </w:r>
      <w:r w:rsidR="00F30437">
        <w:t>entités</w:t>
      </w:r>
      <w:r>
        <w:t xml:space="preserve"> maîtres</w:t>
      </w:r>
      <w:proofErr w:type="gramEnd"/>
      <w:r>
        <w:t xml:space="preserve"> d’ouvrage. </w:t>
      </w:r>
    </w:p>
    <w:p w14:paraId="15D1AB54" w14:textId="77777777" w:rsidR="00A8538E" w:rsidRDefault="00A6768D">
      <w:pPr>
        <w:spacing w:after="0" w:line="259" w:lineRule="auto"/>
        <w:ind w:left="708" w:right="0" w:firstLine="0"/>
        <w:jc w:val="left"/>
      </w:pPr>
      <w:r>
        <w:t xml:space="preserve"> </w:t>
      </w:r>
    </w:p>
    <w:p w14:paraId="27A677AE" w14:textId="77777777" w:rsidR="00A8538E" w:rsidRDefault="00A6768D">
      <w:pPr>
        <w:pStyle w:val="Titre2"/>
        <w:ind w:left="-5"/>
      </w:pPr>
      <w:bookmarkStart w:id="16" w:name="_Toc513628504"/>
      <w:r>
        <w:t>Article 3-5 Avance</w:t>
      </w:r>
      <w:bookmarkEnd w:id="16"/>
      <w:r>
        <w:rPr>
          <w:u w:val="none"/>
        </w:rPr>
        <w:t xml:space="preserve"> </w:t>
      </w:r>
    </w:p>
    <w:p w14:paraId="384A1099" w14:textId="77777777" w:rsidR="00A8538E" w:rsidRDefault="00A6768D">
      <w:pPr>
        <w:spacing w:after="53" w:line="259" w:lineRule="auto"/>
        <w:ind w:left="0" w:right="0" w:firstLine="0"/>
        <w:jc w:val="left"/>
        <w:rPr>
          <w:sz w:val="18"/>
        </w:rPr>
      </w:pPr>
      <w:r>
        <w:rPr>
          <w:sz w:val="18"/>
        </w:rPr>
        <w:t xml:space="preserve"> </w:t>
      </w:r>
      <w:r w:rsidR="00770703">
        <w:rPr>
          <w:sz w:val="18"/>
        </w:rPr>
        <w:t>.</w:t>
      </w:r>
    </w:p>
    <w:p w14:paraId="0C6B94E1" w14:textId="77777777" w:rsidR="00770703" w:rsidRPr="000D7C3E" w:rsidRDefault="00770703" w:rsidP="00770703">
      <w:pPr>
        <w:pStyle w:val="Normal2"/>
        <w:ind w:left="0"/>
        <w:rPr>
          <w:rFonts w:ascii="Arial" w:hAnsi="Arial" w:cs="Arial"/>
          <w:szCs w:val="22"/>
        </w:rPr>
      </w:pPr>
      <w:r w:rsidRPr="000D7C3E">
        <w:rPr>
          <w:rFonts w:ascii="Arial" w:hAnsi="Arial" w:cs="Arial"/>
          <w:szCs w:val="22"/>
        </w:rPr>
        <w:t>Une avance est accordée au titulaire, sauf indication contraire dans l’acte d’engagement, lorsque le montant initial du marché est supérieur à 50 000 €.HT et dans la mesure où le délai d’exécution est supérieur à 2 mois.</w:t>
      </w:r>
    </w:p>
    <w:p w14:paraId="163B204E" w14:textId="77777777" w:rsidR="00770703" w:rsidRPr="000D7C3E" w:rsidRDefault="00770703" w:rsidP="00770703">
      <w:pPr>
        <w:pStyle w:val="Normal2"/>
        <w:ind w:left="0"/>
        <w:rPr>
          <w:rFonts w:ascii="Arial" w:hAnsi="Arial" w:cs="Arial"/>
          <w:szCs w:val="22"/>
        </w:rPr>
      </w:pPr>
    </w:p>
    <w:p w14:paraId="75531C63" w14:textId="77777777" w:rsidR="00770703" w:rsidRPr="000D7C3E" w:rsidRDefault="00770703" w:rsidP="00770703">
      <w:pPr>
        <w:pStyle w:val="Normal2"/>
        <w:ind w:left="0"/>
        <w:rPr>
          <w:rFonts w:ascii="Arial" w:hAnsi="Arial" w:cs="Arial"/>
          <w:szCs w:val="22"/>
        </w:rPr>
      </w:pPr>
      <w:r w:rsidRPr="000D7C3E">
        <w:rPr>
          <w:rFonts w:ascii="Arial" w:hAnsi="Arial" w:cs="Arial"/>
          <w:szCs w:val="22"/>
        </w:rPr>
        <w:t>Le montant de l’avance est fixé à 5,00 % du montant initial, toutes taxes comprises, du marché si sa durée est inférieure ou égale à douze mois ; si cette durée est supérieure à douze mois, l’avance est égale à 5,00 % d’une somme égale à douze fois le montant mentionné ci-dessus divisé par cette durée exprimée en mois.</w:t>
      </w:r>
    </w:p>
    <w:p w14:paraId="1074E9D2" w14:textId="77777777" w:rsidR="00770703" w:rsidRPr="000D7C3E" w:rsidRDefault="00770703" w:rsidP="00770703">
      <w:pPr>
        <w:pStyle w:val="Normal2"/>
        <w:ind w:left="0"/>
        <w:rPr>
          <w:rFonts w:ascii="Arial" w:hAnsi="Arial" w:cs="Arial"/>
          <w:szCs w:val="22"/>
        </w:rPr>
      </w:pPr>
    </w:p>
    <w:p w14:paraId="703AC779" w14:textId="77777777" w:rsidR="00770703" w:rsidRPr="000D7C3E" w:rsidRDefault="00770703" w:rsidP="00770703">
      <w:pPr>
        <w:pStyle w:val="Normal2"/>
        <w:ind w:left="0"/>
        <w:rPr>
          <w:rFonts w:ascii="Arial" w:hAnsi="Arial" w:cs="Arial"/>
          <w:szCs w:val="22"/>
        </w:rPr>
      </w:pPr>
      <w:r w:rsidRPr="000D7C3E">
        <w:rPr>
          <w:rFonts w:ascii="Arial" w:hAnsi="Arial" w:cs="Arial"/>
          <w:szCs w:val="22"/>
        </w:rPr>
        <w:t>Le montant de l’avance ne peut être affecté par la mise en œuvre d’une clause de variation de prix.</w:t>
      </w:r>
    </w:p>
    <w:p w14:paraId="1A0350EA" w14:textId="77777777" w:rsidR="00770703" w:rsidRPr="000D7C3E" w:rsidRDefault="00770703" w:rsidP="00770703">
      <w:pPr>
        <w:pStyle w:val="Normal2"/>
        <w:ind w:left="0"/>
        <w:rPr>
          <w:rFonts w:ascii="Arial" w:hAnsi="Arial" w:cs="Arial"/>
          <w:szCs w:val="22"/>
        </w:rPr>
      </w:pPr>
    </w:p>
    <w:p w14:paraId="0C43E07A" w14:textId="77777777" w:rsidR="00770703" w:rsidRPr="000D7C3E" w:rsidRDefault="00770703" w:rsidP="00770703">
      <w:pPr>
        <w:pStyle w:val="Normal2"/>
        <w:ind w:left="0"/>
        <w:rPr>
          <w:rFonts w:ascii="Arial" w:hAnsi="Arial" w:cs="Arial"/>
          <w:szCs w:val="22"/>
        </w:rPr>
      </w:pPr>
      <w:r w:rsidRPr="000D7C3E">
        <w:rPr>
          <w:rFonts w:ascii="Arial" w:hAnsi="Arial" w:cs="Arial"/>
          <w:szCs w:val="22"/>
        </w:rPr>
        <w:t>Le remboursement de l’avance commence lorsque le montant des prestations exécutées par le titulaire atteint ou dépasse 65,00 % du montant initial du marché. Il doit être terminé lorsque ledit montant atteint 80,00 % du montant initial, toutes taxes comprises, du marché.</w:t>
      </w:r>
    </w:p>
    <w:p w14:paraId="23075607" w14:textId="77777777" w:rsidR="00770703" w:rsidRPr="000D7C3E" w:rsidRDefault="00770703" w:rsidP="00770703">
      <w:pPr>
        <w:pStyle w:val="Normal2"/>
        <w:ind w:left="0"/>
        <w:rPr>
          <w:rFonts w:ascii="Arial" w:hAnsi="Arial" w:cs="Arial"/>
          <w:szCs w:val="22"/>
        </w:rPr>
      </w:pPr>
    </w:p>
    <w:p w14:paraId="6B7C1CBD" w14:textId="77777777" w:rsidR="00770703" w:rsidRPr="000D7C3E" w:rsidRDefault="00770703" w:rsidP="00770703">
      <w:pPr>
        <w:pStyle w:val="Normal2"/>
        <w:ind w:left="0"/>
        <w:rPr>
          <w:rFonts w:ascii="Arial" w:hAnsi="Arial" w:cs="Arial"/>
          <w:szCs w:val="22"/>
        </w:rPr>
      </w:pPr>
      <w:r w:rsidRPr="000D7C3E">
        <w:rPr>
          <w:rFonts w:ascii="Arial" w:hAnsi="Arial" w:cs="Arial"/>
          <w:szCs w:val="22"/>
        </w:rPr>
        <w:t>Ce remboursement s’effectue par précompte sur les sommes dues ultérieurement au titulaire à titre d’acompte ou de solde.</w:t>
      </w:r>
    </w:p>
    <w:p w14:paraId="13676278" w14:textId="77777777" w:rsidR="00770703" w:rsidRPr="000D7C3E" w:rsidRDefault="00770703" w:rsidP="00770703">
      <w:pPr>
        <w:pStyle w:val="Normal2"/>
        <w:ind w:left="0"/>
        <w:rPr>
          <w:rFonts w:ascii="Arial" w:hAnsi="Arial" w:cs="Arial"/>
          <w:szCs w:val="22"/>
        </w:rPr>
      </w:pPr>
    </w:p>
    <w:p w14:paraId="003946FA" w14:textId="77777777" w:rsidR="00770703" w:rsidRPr="000D7C3E" w:rsidRDefault="00770703" w:rsidP="00770703">
      <w:pPr>
        <w:pStyle w:val="Normal2"/>
        <w:ind w:left="0"/>
        <w:rPr>
          <w:rFonts w:ascii="Arial" w:hAnsi="Arial" w:cs="Arial"/>
          <w:szCs w:val="22"/>
        </w:rPr>
      </w:pPr>
      <w:r w:rsidRPr="000D7C3E">
        <w:rPr>
          <w:rFonts w:ascii="Arial" w:hAnsi="Arial" w:cs="Arial"/>
          <w:szCs w:val="22"/>
        </w:rPr>
        <w:t xml:space="preserve">Le versement de l'avance est conditionné par la constitution d'une garantie à première demande portant sur un engagement du montant total de l'avance consentie. </w:t>
      </w:r>
    </w:p>
    <w:p w14:paraId="30648CD5" w14:textId="77777777" w:rsidR="00770703" w:rsidRPr="000D7C3E" w:rsidRDefault="00770703" w:rsidP="00770703">
      <w:pPr>
        <w:pStyle w:val="Normal2"/>
        <w:ind w:left="0"/>
        <w:rPr>
          <w:rFonts w:ascii="Arial" w:hAnsi="Arial" w:cs="Arial"/>
          <w:szCs w:val="22"/>
        </w:rPr>
      </w:pPr>
      <w:r w:rsidRPr="000D7C3E">
        <w:rPr>
          <w:rFonts w:ascii="Arial" w:hAnsi="Arial" w:cs="Arial"/>
          <w:szCs w:val="22"/>
        </w:rPr>
        <w:t>La caution personnelle et solidaire n’est pas autorisée.</w:t>
      </w:r>
    </w:p>
    <w:p w14:paraId="1C7BA112" w14:textId="77777777" w:rsidR="00770703" w:rsidRPr="00770703" w:rsidRDefault="00770703" w:rsidP="00770703">
      <w:pPr>
        <w:pStyle w:val="Normal2"/>
        <w:ind w:left="0"/>
        <w:rPr>
          <w:rFonts w:ascii="Arial" w:hAnsi="Arial" w:cs="Arial"/>
          <w:sz w:val="20"/>
        </w:rPr>
      </w:pPr>
    </w:p>
    <w:p w14:paraId="4DDF01A9" w14:textId="77777777" w:rsidR="00770703" w:rsidRPr="000D7C3E" w:rsidRDefault="00770703" w:rsidP="00770703">
      <w:pPr>
        <w:pStyle w:val="Normal2"/>
        <w:ind w:left="0"/>
        <w:rPr>
          <w:rFonts w:ascii="Arial" w:hAnsi="Arial" w:cs="Arial"/>
          <w:szCs w:val="22"/>
        </w:rPr>
      </w:pPr>
      <w:r w:rsidRPr="000D7C3E">
        <w:rPr>
          <w:rFonts w:ascii="Arial" w:hAnsi="Arial" w:cs="Arial"/>
          <w:b/>
          <w:szCs w:val="22"/>
        </w:rPr>
        <w:t>Nota :</w:t>
      </w:r>
      <w:r w:rsidRPr="000D7C3E">
        <w:rPr>
          <w:rFonts w:ascii="Arial" w:hAnsi="Arial" w:cs="Arial"/>
          <w:szCs w:val="22"/>
        </w:rPr>
        <w:t xml:space="preserve"> Dès lors que le titulaire remplit les conditions pour bénéficier d’une avance, une avance peut être versée, sur leur demande, aux sous-traitants bénéficiaires du paiement direct suivant les mêmes dispositions (taux de l’avance et conditions de versement et de remboursement ...) que celles applicables au titulaire du marché, avec les particularités détaillées à l’article 135 du Décret nº2016-360 du 25 mars 2016.</w:t>
      </w:r>
    </w:p>
    <w:p w14:paraId="7F4F8D3A" w14:textId="77777777" w:rsidR="00770703" w:rsidRPr="00770703" w:rsidRDefault="00770703" w:rsidP="00770703">
      <w:pPr>
        <w:pStyle w:val="Normal2"/>
        <w:ind w:left="0"/>
        <w:rPr>
          <w:rFonts w:ascii="Arial" w:hAnsi="Arial" w:cs="Arial"/>
          <w:sz w:val="20"/>
        </w:rPr>
      </w:pPr>
    </w:p>
    <w:p w14:paraId="2A197E17" w14:textId="3C65DF9A" w:rsidR="00A8538E" w:rsidRDefault="00A8538E">
      <w:pPr>
        <w:spacing w:after="0" w:line="259" w:lineRule="auto"/>
        <w:ind w:left="0" w:right="0" w:firstLine="0"/>
        <w:jc w:val="left"/>
      </w:pPr>
    </w:p>
    <w:p w14:paraId="2F06FE1D" w14:textId="77777777" w:rsidR="00A8538E" w:rsidRDefault="00A6768D">
      <w:pPr>
        <w:pStyle w:val="Titre2"/>
        <w:ind w:left="-5"/>
      </w:pPr>
      <w:bookmarkStart w:id="17" w:name="_Toc513628505"/>
      <w:r>
        <w:t>Article 3-6 Acomptes</w:t>
      </w:r>
      <w:bookmarkEnd w:id="17"/>
      <w:r>
        <w:rPr>
          <w:u w:val="none"/>
        </w:rPr>
        <w:t xml:space="preserve"> </w:t>
      </w:r>
    </w:p>
    <w:p w14:paraId="3A4F7C7F" w14:textId="77777777" w:rsidR="00A8538E" w:rsidRDefault="00A6768D">
      <w:pPr>
        <w:spacing w:after="0" w:line="259" w:lineRule="auto"/>
        <w:ind w:left="0" w:right="0" w:firstLine="0"/>
        <w:jc w:val="left"/>
      </w:pPr>
      <w:r>
        <w:rPr>
          <w:sz w:val="24"/>
        </w:rPr>
        <w:t xml:space="preserve"> </w:t>
      </w:r>
    </w:p>
    <w:p w14:paraId="1667E570" w14:textId="523DBE2D" w:rsidR="00A8538E" w:rsidRPr="00A361A9" w:rsidRDefault="00A6768D">
      <w:pPr>
        <w:numPr>
          <w:ilvl w:val="0"/>
          <w:numId w:val="4"/>
        </w:numPr>
        <w:spacing w:after="0" w:line="259" w:lineRule="auto"/>
        <w:ind w:right="0" w:hanging="137"/>
      </w:pPr>
      <w:r>
        <w:rPr>
          <w:i/>
        </w:rPr>
        <w:t>Échéancier de paiement des acomptes</w:t>
      </w:r>
      <w:r>
        <w:t xml:space="preserve"> </w:t>
      </w:r>
      <w:r>
        <w:rPr>
          <w:i/>
        </w:rPr>
        <w:t xml:space="preserve">selon la répartition définie à l’article </w:t>
      </w:r>
      <w:r w:rsidR="00A361A9">
        <w:rPr>
          <w:i/>
        </w:rPr>
        <w:t>2</w:t>
      </w:r>
      <w:r>
        <w:rPr>
          <w:i/>
        </w:rPr>
        <w:t xml:space="preserve"> de l’acte d’engagement : </w:t>
      </w:r>
    </w:p>
    <w:p w14:paraId="26956656" w14:textId="77777777" w:rsidR="00A361A9" w:rsidRDefault="00A361A9" w:rsidP="00A361A9">
      <w:pPr>
        <w:spacing w:after="0" w:line="259" w:lineRule="auto"/>
        <w:ind w:left="137" w:right="0" w:firstLine="0"/>
      </w:pPr>
    </w:p>
    <w:p w14:paraId="4B8EA553" w14:textId="77777777" w:rsidR="00A361A9" w:rsidRDefault="00A6768D" w:rsidP="00A361A9">
      <w:pPr>
        <w:ind w:left="-5" w:right="0"/>
      </w:pPr>
      <w:r>
        <w:rPr>
          <w:sz w:val="18"/>
        </w:rPr>
        <w:t xml:space="preserve"> </w:t>
      </w:r>
      <w:r w:rsidR="00A361A9">
        <w:t xml:space="preserve">Les pourcentages de chaque élément de mission sont les suivants :  </w:t>
      </w:r>
    </w:p>
    <w:p w14:paraId="3A693C91" w14:textId="77777777" w:rsidR="00A361A9" w:rsidRDefault="00A361A9" w:rsidP="00A361A9">
      <w:pPr>
        <w:ind w:left="-5" w:right="0"/>
      </w:pPr>
    </w:p>
    <w:p w14:paraId="7245513A" w14:textId="77777777" w:rsidR="00A361A9" w:rsidRDefault="00A361A9" w:rsidP="00A361A9">
      <w:pPr>
        <w:spacing w:after="0" w:line="259" w:lineRule="auto"/>
        <w:ind w:left="0" w:right="0" w:firstLine="0"/>
        <w:jc w:val="left"/>
      </w:pPr>
      <w:r>
        <w:rPr>
          <w:sz w:val="10"/>
        </w:rPr>
        <w:t xml:space="preserve"> </w:t>
      </w:r>
    </w:p>
    <w:tbl>
      <w:tblPr>
        <w:tblStyle w:val="TableGrid"/>
        <w:tblW w:w="5337" w:type="dxa"/>
        <w:tblInd w:w="1892" w:type="dxa"/>
        <w:tblCellMar>
          <w:top w:w="58" w:type="dxa"/>
          <w:left w:w="161" w:type="dxa"/>
          <w:right w:w="99" w:type="dxa"/>
        </w:tblCellMar>
        <w:tblLook w:val="04A0" w:firstRow="1" w:lastRow="0" w:firstColumn="1" w:lastColumn="0" w:noHBand="0" w:noVBand="1"/>
      </w:tblPr>
      <w:tblGrid>
        <w:gridCol w:w="2913"/>
        <w:gridCol w:w="2424"/>
      </w:tblGrid>
      <w:tr w:rsidR="00A361A9" w14:paraId="60F1148E" w14:textId="77777777" w:rsidTr="005851FE">
        <w:trPr>
          <w:trHeight w:val="712"/>
        </w:trPr>
        <w:tc>
          <w:tcPr>
            <w:tcW w:w="2913" w:type="dxa"/>
            <w:tcBorders>
              <w:top w:val="single" w:sz="6" w:space="0" w:color="000000"/>
              <w:left w:val="single" w:sz="6" w:space="0" w:color="000000"/>
              <w:bottom w:val="single" w:sz="6" w:space="0" w:color="000000"/>
              <w:right w:val="single" w:sz="6" w:space="0" w:color="000000"/>
            </w:tcBorders>
            <w:shd w:val="clear" w:color="auto" w:fill="B6DDE8"/>
            <w:vAlign w:val="center"/>
          </w:tcPr>
          <w:p w14:paraId="684A1401" w14:textId="77777777" w:rsidR="00A361A9" w:rsidRDefault="00A361A9" w:rsidP="005851FE">
            <w:pPr>
              <w:spacing w:after="0" w:line="259" w:lineRule="auto"/>
              <w:ind w:left="0" w:right="63" w:firstLine="0"/>
              <w:jc w:val="center"/>
            </w:pPr>
            <w:r>
              <w:t xml:space="preserve">Éléments de mission </w:t>
            </w:r>
          </w:p>
        </w:tc>
        <w:tc>
          <w:tcPr>
            <w:tcW w:w="2424" w:type="dxa"/>
            <w:tcBorders>
              <w:top w:val="single" w:sz="6" w:space="0" w:color="000000"/>
              <w:left w:val="single" w:sz="6" w:space="0" w:color="000000"/>
              <w:bottom w:val="single" w:sz="6" w:space="0" w:color="000000"/>
              <w:right w:val="single" w:sz="6" w:space="0" w:color="000000"/>
            </w:tcBorders>
            <w:shd w:val="clear" w:color="auto" w:fill="B6DDE8"/>
            <w:vAlign w:val="center"/>
          </w:tcPr>
          <w:p w14:paraId="7CEE66F7" w14:textId="77777777" w:rsidR="00A361A9" w:rsidRDefault="00A361A9" w:rsidP="005851FE">
            <w:pPr>
              <w:spacing w:after="0" w:line="259" w:lineRule="auto"/>
              <w:ind w:left="0" w:right="0" w:firstLine="0"/>
              <w:jc w:val="left"/>
            </w:pPr>
            <w:r>
              <w:t xml:space="preserve">Total sur honoraire % </w:t>
            </w:r>
          </w:p>
        </w:tc>
      </w:tr>
      <w:tr w:rsidR="00A361A9" w14:paraId="5CDE1825" w14:textId="77777777" w:rsidTr="005851FE">
        <w:trPr>
          <w:trHeight w:val="363"/>
        </w:trPr>
        <w:tc>
          <w:tcPr>
            <w:tcW w:w="2913" w:type="dxa"/>
            <w:tcBorders>
              <w:top w:val="single" w:sz="6" w:space="0" w:color="000000"/>
              <w:left w:val="single" w:sz="6" w:space="0" w:color="000000"/>
              <w:bottom w:val="single" w:sz="5" w:space="0" w:color="000000"/>
              <w:right w:val="single" w:sz="5" w:space="0" w:color="000000"/>
            </w:tcBorders>
          </w:tcPr>
          <w:p w14:paraId="1BAE6B1F" w14:textId="6B6AA935" w:rsidR="00A361A9" w:rsidRDefault="00A361A9" w:rsidP="005851FE">
            <w:pPr>
              <w:spacing w:after="0" w:line="259" w:lineRule="auto"/>
              <w:ind w:left="0" w:right="61" w:firstLine="0"/>
              <w:jc w:val="center"/>
            </w:pPr>
            <w:r>
              <w:t xml:space="preserve">PRO </w:t>
            </w:r>
          </w:p>
        </w:tc>
        <w:tc>
          <w:tcPr>
            <w:tcW w:w="2424" w:type="dxa"/>
            <w:tcBorders>
              <w:top w:val="single" w:sz="6" w:space="0" w:color="000000"/>
              <w:left w:val="single" w:sz="5" w:space="0" w:color="000000"/>
              <w:bottom w:val="single" w:sz="5" w:space="0" w:color="000000"/>
              <w:right w:val="single" w:sz="6" w:space="0" w:color="000000"/>
            </w:tcBorders>
          </w:tcPr>
          <w:p w14:paraId="0D504E72" w14:textId="77777777" w:rsidR="00A361A9" w:rsidRPr="005851FE" w:rsidRDefault="00A361A9" w:rsidP="005851FE">
            <w:pPr>
              <w:spacing w:after="0" w:line="259" w:lineRule="auto"/>
              <w:ind w:left="0" w:right="60" w:firstLine="0"/>
              <w:jc w:val="center"/>
              <w:rPr>
                <w:color w:val="auto"/>
              </w:rPr>
            </w:pPr>
            <w:r w:rsidRPr="005851FE">
              <w:rPr>
                <w:color w:val="auto"/>
              </w:rPr>
              <w:t xml:space="preserve">30,00 </w:t>
            </w:r>
          </w:p>
        </w:tc>
      </w:tr>
      <w:tr w:rsidR="00A361A9" w14:paraId="2BBDC3CE" w14:textId="77777777" w:rsidTr="005851FE">
        <w:trPr>
          <w:trHeight w:val="360"/>
        </w:trPr>
        <w:tc>
          <w:tcPr>
            <w:tcW w:w="2913" w:type="dxa"/>
            <w:tcBorders>
              <w:top w:val="single" w:sz="5" w:space="0" w:color="000000"/>
              <w:left w:val="single" w:sz="6" w:space="0" w:color="000000"/>
              <w:bottom w:val="single" w:sz="5" w:space="0" w:color="000000"/>
              <w:right w:val="single" w:sz="5" w:space="0" w:color="000000"/>
            </w:tcBorders>
          </w:tcPr>
          <w:p w14:paraId="4F512E24" w14:textId="32CC16AA" w:rsidR="00A361A9" w:rsidRDefault="00A361A9" w:rsidP="005851FE">
            <w:pPr>
              <w:spacing w:after="0" w:line="259" w:lineRule="auto"/>
              <w:ind w:left="0" w:right="58" w:firstLine="0"/>
              <w:jc w:val="center"/>
            </w:pPr>
            <w:r>
              <w:t xml:space="preserve">ACT </w:t>
            </w:r>
          </w:p>
        </w:tc>
        <w:tc>
          <w:tcPr>
            <w:tcW w:w="2424" w:type="dxa"/>
            <w:tcBorders>
              <w:top w:val="single" w:sz="5" w:space="0" w:color="000000"/>
              <w:left w:val="single" w:sz="5" w:space="0" w:color="000000"/>
              <w:bottom w:val="single" w:sz="5" w:space="0" w:color="000000"/>
              <w:right w:val="single" w:sz="6" w:space="0" w:color="000000"/>
            </w:tcBorders>
          </w:tcPr>
          <w:p w14:paraId="7863E7BA" w14:textId="77777777" w:rsidR="00A361A9" w:rsidRPr="005851FE" w:rsidRDefault="00A361A9" w:rsidP="005851FE">
            <w:pPr>
              <w:spacing w:after="0" w:line="259" w:lineRule="auto"/>
              <w:ind w:left="0" w:right="60" w:firstLine="0"/>
              <w:jc w:val="center"/>
              <w:rPr>
                <w:color w:val="auto"/>
              </w:rPr>
            </w:pPr>
            <w:r w:rsidRPr="005851FE">
              <w:rPr>
                <w:color w:val="auto"/>
              </w:rPr>
              <w:t xml:space="preserve">18,00 </w:t>
            </w:r>
          </w:p>
        </w:tc>
      </w:tr>
      <w:tr w:rsidR="00A361A9" w14:paraId="0A529265" w14:textId="77777777" w:rsidTr="005851FE">
        <w:trPr>
          <w:trHeight w:val="360"/>
        </w:trPr>
        <w:tc>
          <w:tcPr>
            <w:tcW w:w="2913" w:type="dxa"/>
            <w:tcBorders>
              <w:top w:val="single" w:sz="5" w:space="0" w:color="000000"/>
              <w:left w:val="single" w:sz="6" w:space="0" w:color="000000"/>
              <w:bottom w:val="single" w:sz="5" w:space="0" w:color="000000"/>
              <w:right w:val="single" w:sz="5" w:space="0" w:color="000000"/>
            </w:tcBorders>
          </w:tcPr>
          <w:p w14:paraId="2A0D8BC8" w14:textId="7B1B03FB" w:rsidR="00A361A9" w:rsidRDefault="00A361A9" w:rsidP="005851FE">
            <w:pPr>
              <w:spacing w:after="0" w:line="259" w:lineRule="auto"/>
              <w:ind w:left="0" w:right="60" w:firstLine="0"/>
              <w:jc w:val="center"/>
            </w:pPr>
            <w:r>
              <w:t xml:space="preserve">ACT </w:t>
            </w:r>
          </w:p>
        </w:tc>
        <w:tc>
          <w:tcPr>
            <w:tcW w:w="2424" w:type="dxa"/>
            <w:tcBorders>
              <w:top w:val="single" w:sz="5" w:space="0" w:color="000000"/>
              <w:left w:val="single" w:sz="5" w:space="0" w:color="000000"/>
              <w:bottom w:val="single" w:sz="5" w:space="0" w:color="000000"/>
              <w:right w:val="single" w:sz="6" w:space="0" w:color="000000"/>
            </w:tcBorders>
          </w:tcPr>
          <w:p w14:paraId="64B8383E" w14:textId="77777777" w:rsidR="00A361A9" w:rsidRPr="005851FE" w:rsidRDefault="00A361A9" w:rsidP="005851FE">
            <w:pPr>
              <w:spacing w:after="0" w:line="259" w:lineRule="auto"/>
              <w:ind w:left="0" w:right="58" w:firstLine="0"/>
              <w:jc w:val="center"/>
              <w:rPr>
                <w:color w:val="auto"/>
              </w:rPr>
            </w:pPr>
            <w:r w:rsidRPr="005851FE">
              <w:rPr>
                <w:color w:val="auto"/>
              </w:rPr>
              <w:t xml:space="preserve">2,00 </w:t>
            </w:r>
          </w:p>
        </w:tc>
      </w:tr>
      <w:tr w:rsidR="00A361A9" w14:paraId="213D6D08" w14:textId="77777777" w:rsidTr="005851FE">
        <w:trPr>
          <w:trHeight w:val="360"/>
        </w:trPr>
        <w:tc>
          <w:tcPr>
            <w:tcW w:w="2913" w:type="dxa"/>
            <w:tcBorders>
              <w:top w:val="single" w:sz="5" w:space="0" w:color="000000"/>
              <w:left w:val="single" w:sz="6" w:space="0" w:color="000000"/>
              <w:bottom w:val="single" w:sz="5" w:space="0" w:color="000000"/>
              <w:right w:val="single" w:sz="5" w:space="0" w:color="000000"/>
            </w:tcBorders>
          </w:tcPr>
          <w:p w14:paraId="1CC6E770" w14:textId="22A4E266" w:rsidR="00A361A9" w:rsidRDefault="00A361A9" w:rsidP="005851FE">
            <w:pPr>
              <w:spacing w:after="0" w:line="259" w:lineRule="auto"/>
              <w:ind w:left="0" w:right="59" w:firstLine="0"/>
              <w:jc w:val="center"/>
            </w:pPr>
            <w:r>
              <w:t xml:space="preserve">DET/VISA </w:t>
            </w:r>
          </w:p>
        </w:tc>
        <w:tc>
          <w:tcPr>
            <w:tcW w:w="2424" w:type="dxa"/>
            <w:tcBorders>
              <w:top w:val="single" w:sz="5" w:space="0" w:color="000000"/>
              <w:left w:val="single" w:sz="5" w:space="0" w:color="000000"/>
              <w:bottom w:val="single" w:sz="5" w:space="0" w:color="000000"/>
              <w:right w:val="single" w:sz="6" w:space="0" w:color="000000"/>
            </w:tcBorders>
          </w:tcPr>
          <w:p w14:paraId="15A976C0" w14:textId="77777777" w:rsidR="00A361A9" w:rsidRPr="005851FE" w:rsidRDefault="00A361A9" w:rsidP="005851FE">
            <w:pPr>
              <w:spacing w:after="0" w:line="259" w:lineRule="auto"/>
              <w:ind w:left="0" w:right="60" w:firstLine="0"/>
              <w:jc w:val="center"/>
              <w:rPr>
                <w:color w:val="auto"/>
              </w:rPr>
            </w:pPr>
            <w:r w:rsidRPr="005851FE">
              <w:rPr>
                <w:color w:val="auto"/>
              </w:rPr>
              <w:t xml:space="preserve">25,00 </w:t>
            </w:r>
          </w:p>
        </w:tc>
      </w:tr>
      <w:tr w:rsidR="00A361A9" w14:paraId="336819EF" w14:textId="77777777" w:rsidTr="005851FE">
        <w:trPr>
          <w:trHeight w:val="360"/>
        </w:trPr>
        <w:tc>
          <w:tcPr>
            <w:tcW w:w="2913" w:type="dxa"/>
            <w:tcBorders>
              <w:top w:val="single" w:sz="5" w:space="0" w:color="000000"/>
              <w:left w:val="single" w:sz="6" w:space="0" w:color="000000"/>
              <w:bottom w:val="single" w:sz="5" w:space="0" w:color="000000"/>
              <w:right w:val="single" w:sz="5" w:space="0" w:color="000000"/>
            </w:tcBorders>
          </w:tcPr>
          <w:p w14:paraId="6E95AB6D" w14:textId="6577DF5C" w:rsidR="00A361A9" w:rsidRDefault="00A361A9" w:rsidP="005851FE">
            <w:pPr>
              <w:spacing w:after="0" w:line="259" w:lineRule="auto"/>
              <w:ind w:left="0" w:right="61" w:firstLine="0"/>
              <w:jc w:val="center"/>
            </w:pPr>
            <w:r>
              <w:t xml:space="preserve">AOR </w:t>
            </w:r>
          </w:p>
        </w:tc>
        <w:tc>
          <w:tcPr>
            <w:tcW w:w="2424" w:type="dxa"/>
            <w:tcBorders>
              <w:top w:val="single" w:sz="5" w:space="0" w:color="000000"/>
              <w:left w:val="single" w:sz="5" w:space="0" w:color="000000"/>
              <w:bottom w:val="single" w:sz="5" w:space="0" w:color="000000"/>
              <w:right w:val="single" w:sz="6" w:space="0" w:color="000000"/>
            </w:tcBorders>
          </w:tcPr>
          <w:p w14:paraId="7EDE5B78" w14:textId="77777777" w:rsidR="00A361A9" w:rsidRPr="005851FE" w:rsidRDefault="00A361A9" w:rsidP="005851FE">
            <w:pPr>
              <w:spacing w:after="0" w:line="259" w:lineRule="auto"/>
              <w:ind w:left="0" w:right="60" w:firstLine="0"/>
              <w:jc w:val="center"/>
              <w:rPr>
                <w:color w:val="auto"/>
              </w:rPr>
            </w:pPr>
            <w:r w:rsidRPr="005851FE">
              <w:rPr>
                <w:color w:val="auto"/>
              </w:rPr>
              <w:t xml:space="preserve">20,00 </w:t>
            </w:r>
          </w:p>
        </w:tc>
      </w:tr>
      <w:tr w:rsidR="00A361A9" w14:paraId="1E468470" w14:textId="77777777" w:rsidTr="005851FE">
        <w:trPr>
          <w:trHeight w:val="367"/>
        </w:trPr>
        <w:tc>
          <w:tcPr>
            <w:tcW w:w="2913" w:type="dxa"/>
            <w:tcBorders>
              <w:top w:val="single" w:sz="5" w:space="0" w:color="000000"/>
              <w:left w:val="single" w:sz="6" w:space="0" w:color="000000"/>
              <w:bottom w:val="single" w:sz="7" w:space="0" w:color="000000"/>
              <w:right w:val="single" w:sz="7" w:space="0" w:color="000000"/>
            </w:tcBorders>
          </w:tcPr>
          <w:p w14:paraId="3BB7ABBC" w14:textId="77777777" w:rsidR="00A361A9" w:rsidRDefault="00A361A9" w:rsidP="005851FE">
            <w:pPr>
              <w:spacing w:after="0" w:line="259" w:lineRule="auto"/>
              <w:ind w:left="0" w:right="62" w:firstLine="0"/>
              <w:jc w:val="center"/>
            </w:pPr>
            <w:r>
              <w:rPr>
                <w:b/>
                <w:i/>
              </w:rPr>
              <w:t>TOTAL</w:t>
            </w:r>
            <w:r>
              <w:t xml:space="preserve"> </w:t>
            </w:r>
          </w:p>
        </w:tc>
        <w:tc>
          <w:tcPr>
            <w:tcW w:w="2424" w:type="dxa"/>
            <w:tcBorders>
              <w:top w:val="single" w:sz="5" w:space="0" w:color="000000"/>
              <w:left w:val="single" w:sz="7" w:space="0" w:color="000000"/>
              <w:bottom w:val="single" w:sz="7" w:space="0" w:color="000000"/>
              <w:right w:val="single" w:sz="6" w:space="0" w:color="000000"/>
            </w:tcBorders>
          </w:tcPr>
          <w:p w14:paraId="104410D5" w14:textId="77777777" w:rsidR="00A361A9" w:rsidRDefault="00A361A9" w:rsidP="005851FE">
            <w:pPr>
              <w:spacing w:after="0" w:line="259" w:lineRule="auto"/>
              <w:ind w:left="0" w:right="58" w:firstLine="0"/>
              <w:jc w:val="center"/>
            </w:pPr>
            <w:r>
              <w:t xml:space="preserve">100,00 </w:t>
            </w:r>
          </w:p>
        </w:tc>
      </w:tr>
    </w:tbl>
    <w:p w14:paraId="2AD9B03D" w14:textId="77777777" w:rsidR="00A8538E" w:rsidRDefault="00A8538E">
      <w:pPr>
        <w:spacing w:after="21" w:line="259" w:lineRule="auto"/>
        <w:ind w:left="0" w:right="0" w:firstLine="0"/>
        <w:jc w:val="left"/>
      </w:pPr>
    </w:p>
    <w:p w14:paraId="7C4AD0A0" w14:textId="77777777" w:rsidR="00A8538E" w:rsidRDefault="00A6768D">
      <w:pPr>
        <w:ind w:left="-5" w:right="0"/>
      </w:pPr>
      <w:r>
        <w:lastRenderedPageBreak/>
        <w:t xml:space="preserve">Élément PRO (Études de projet) (tranche ferme) </w:t>
      </w:r>
    </w:p>
    <w:p w14:paraId="5D327A5E" w14:textId="77777777" w:rsidR="00A8538E" w:rsidRDefault="00A6768D">
      <w:pPr>
        <w:spacing w:after="53" w:line="259" w:lineRule="auto"/>
        <w:ind w:left="0" w:right="0" w:firstLine="0"/>
        <w:jc w:val="left"/>
      </w:pPr>
      <w:r>
        <w:rPr>
          <w:sz w:val="18"/>
        </w:rPr>
        <w:t xml:space="preserve"> </w:t>
      </w:r>
    </w:p>
    <w:p w14:paraId="748D45E1" w14:textId="77777777" w:rsidR="00A8538E" w:rsidRDefault="00A6768D">
      <w:pPr>
        <w:ind w:left="-5" w:right="0"/>
      </w:pPr>
      <w:r>
        <w:t xml:space="preserve">Les prestations incluses dans l’élément PRO fera l’objet d’un unique versement après achèvement total de tous les éléments et réception par les maîtres d’ouvrage. </w:t>
      </w:r>
    </w:p>
    <w:p w14:paraId="6ABED1DB" w14:textId="77777777" w:rsidR="00A8538E" w:rsidRDefault="00A6768D">
      <w:pPr>
        <w:spacing w:after="19" w:line="259" w:lineRule="auto"/>
        <w:ind w:left="0" w:right="0" w:firstLine="0"/>
        <w:jc w:val="left"/>
      </w:pPr>
      <w:r>
        <w:rPr>
          <w:sz w:val="18"/>
        </w:rPr>
        <w:t xml:space="preserve"> </w:t>
      </w:r>
    </w:p>
    <w:p w14:paraId="638A37D3" w14:textId="75E1F10C" w:rsidR="00A8538E" w:rsidRDefault="00A8538E">
      <w:pPr>
        <w:spacing w:after="0" w:line="259" w:lineRule="auto"/>
        <w:ind w:left="0" w:right="0" w:firstLine="0"/>
        <w:jc w:val="left"/>
      </w:pPr>
    </w:p>
    <w:p w14:paraId="488C8C38" w14:textId="77777777" w:rsidR="00A8538E" w:rsidRDefault="00A6768D">
      <w:pPr>
        <w:ind w:left="-5" w:right="0"/>
      </w:pPr>
      <w:r>
        <w:t xml:space="preserve">Élément ACT (Assistance pour la passation des contrats de travaux)  </w:t>
      </w:r>
    </w:p>
    <w:p w14:paraId="52EC0FC4" w14:textId="77777777" w:rsidR="00A8538E" w:rsidRDefault="00A6768D">
      <w:pPr>
        <w:spacing w:after="21" w:line="259" w:lineRule="auto"/>
        <w:ind w:left="0" w:right="0" w:firstLine="0"/>
        <w:jc w:val="left"/>
      </w:pPr>
      <w:r>
        <w:rPr>
          <w:sz w:val="18"/>
        </w:rPr>
        <w:t xml:space="preserve"> </w:t>
      </w:r>
    </w:p>
    <w:p w14:paraId="4525C0B9" w14:textId="77777777" w:rsidR="00A8538E" w:rsidRDefault="00A6768D">
      <w:pPr>
        <w:ind w:left="-5" w:right="0"/>
      </w:pPr>
      <w:r>
        <w:t xml:space="preserve">Les prestations incluses dans cet élément sont réglées de la manière suivante,  </w:t>
      </w:r>
    </w:p>
    <w:p w14:paraId="545F4FF9" w14:textId="77777777" w:rsidR="00A8538E" w:rsidRDefault="00A6768D">
      <w:pPr>
        <w:numPr>
          <w:ilvl w:val="0"/>
          <w:numId w:val="4"/>
        </w:numPr>
        <w:ind w:right="0" w:hanging="137"/>
      </w:pPr>
      <w:r>
        <w:t>1</w:t>
      </w:r>
      <w:r>
        <w:rPr>
          <w:vertAlign w:val="superscript"/>
        </w:rPr>
        <w:t>er</w:t>
      </w:r>
      <w:r>
        <w:t xml:space="preserve"> acompte de l’élément ACT : en un unique versement après réception du dossier de </w:t>
      </w:r>
    </w:p>
    <w:p w14:paraId="678BEA55" w14:textId="77777777" w:rsidR="00A8538E" w:rsidRDefault="00A6768D">
      <w:pPr>
        <w:tabs>
          <w:tab w:val="center" w:pos="5403"/>
        </w:tabs>
        <w:spacing w:after="48"/>
        <w:ind w:left="-15" w:right="0" w:firstLine="0"/>
        <w:jc w:val="left"/>
      </w:pPr>
      <w:r>
        <w:t xml:space="preserve"> </w:t>
      </w:r>
      <w:r>
        <w:tab/>
      </w:r>
      <w:proofErr w:type="gramStart"/>
      <w:r>
        <w:t>consultation</w:t>
      </w:r>
      <w:proofErr w:type="gramEnd"/>
      <w:r>
        <w:t xml:space="preserve"> des entreprises ; </w:t>
      </w:r>
    </w:p>
    <w:p w14:paraId="7DA9A7C6" w14:textId="77777777" w:rsidR="00A8538E" w:rsidRDefault="00A6768D">
      <w:pPr>
        <w:numPr>
          <w:ilvl w:val="0"/>
          <w:numId w:val="4"/>
        </w:numPr>
        <w:ind w:right="0" w:hanging="137"/>
      </w:pPr>
      <w:r>
        <w:t>2</w:t>
      </w:r>
      <w:r>
        <w:rPr>
          <w:vertAlign w:val="superscript"/>
        </w:rPr>
        <w:t>ème</w:t>
      </w:r>
      <w:r>
        <w:t xml:space="preserve"> acompte de l’élément ACT : en un unique versement après réception du dossier d’analyse </w:t>
      </w:r>
    </w:p>
    <w:p w14:paraId="70966285" w14:textId="77777777" w:rsidR="00A8538E" w:rsidRDefault="00A6768D">
      <w:pPr>
        <w:tabs>
          <w:tab w:val="center" w:pos="4515"/>
        </w:tabs>
        <w:ind w:left="-15" w:right="0" w:firstLine="0"/>
        <w:jc w:val="left"/>
      </w:pPr>
      <w:r>
        <w:t xml:space="preserve"> </w:t>
      </w:r>
      <w:r>
        <w:tab/>
      </w:r>
      <w:proofErr w:type="gramStart"/>
      <w:r>
        <w:t>des</w:t>
      </w:r>
      <w:proofErr w:type="gramEnd"/>
      <w:r>
        <w:t xml:space="preserve"> offres ; </w:t>
      </w:r>
    </w:p>
    <w:p w14:paraId="544E7171" w14:textId="77777777" w:rsidR="00A8538E" w:rsidRDefault="00A6768D">
      <w:pPr>
        <w:numPr>
          <w:ilvl w:val="0"/>
          <w:numId w:val="4"/>
        </w:numPr>
        <w:ind w:right="0" w:hanging="137"/>
      </w:pPr>
      <w:r>
        <w:t>3</w:t>
      </w:r>
      <w:r>
        <w:rPr>
          <w:vertAlign w:val="superscript"/>
        </w:rPr>
        <w:t>ème</w:t>
      </w:r>
      <w:r>
        <w:t xml:space="preserve"> acompte de l’élément ACT : en un unique versement après réception de la mise au point </w:t>
      </w:r>
    </w:p>
    <w:p w14:paraId="6062CFE5" w14:textId="77777777" w:rsidR="00A8538E" w:rsidRDefault="00A6768D" w:rsidP="00D21FED">
      <w:pPr>
        <w:tabs>
          <w:tab w:val="right" w:pos="10344"/>
        </w:tabs>
        <w:ind w:left="-15" w:right="0" w:firstLine="0"/>
        <w:jc w:val="left"/>
      </w:pPr>
      <w:r>
        <w:t xml:space="preserve"> </w:t>
      </w:r>
      <w:proofErr w:type="gramStart"/>
      <w:r>
        <w:t>nécessaire</w:t>
      </w:r>
      <w:proofErr w:type="gramEnd"/>
      <w:r>
        <w:t xml:space="preserve"> pour permettre la passation des marchés de travaux  </w:t>
      </w:r>
      <w:r>
        <w:tab/>
        <w:t xml:space="preserve"> </w:t>
      </w:r>
    </w:p>
    <w:p w14:paraId="49CE67D9" w14:textId="77777777" w:rsidR="00A8538E" w:rsidRDefault="00A6768D">
      <w:pPr>
        <w:spacing w:after="0" w:line="259" w:lineRule="auto"/>
        <w:ind w:left="0" w:right="0" w:firstLine="0"/>
        <w:jc w:val="left"/>
      </w:pPr>
      <w:r>
        <w:t xml:space="preserve"> </w:t>
      </w:r>
    </w:p>
    <w:p w14:paraId="0E72B9A4" w14:textId="77777777" w:rsidR="00A8538E" w:rsidRDefault="00A6768D">
      <w:pPr>
        <w:ind w:left="-5" w:right="0"/>
      </w:pPr>
      <w:r>
        <w:t xml:space="preserve">Élément DET/VISA (Direction des travaux) </w:t>
      </w:r>
    </w:p>
    <w:p w14:paraId="624878D5" w14:textId="77777777" w:rsidR="00A8538E" w:rsidRDefault="00A6768D">
      <w:pPr>
        <w:spacing w:after="19" w:line="259" w:lineRule="auto"/>
        <w:ind w:left="0" w:right="0" w:firstLine="0"/>
        <w:jc w:val="left"/>
      </w:pPr>
      <w:r>
        <w:rPr>
          <w:sz w:val="18"/>
        </w:rPr>
        <w:t xml:space="preserve"> </w:t>
      </w:r>
    </w:p>
    <w:p w14:paraId="11505C52" w14:textId="77777777" w:rsidR="00A8538E" w:rsidRDefault="00A6768D">
      <w:pPr>
        <w:ind w:left="-5" w:right="0"/>
      </w:pPr>
      <w:r>
        <w:t xml:space="preserve">Les prestations incluses dans cet élément sont réglées comme suit : </w:t>
      </w:r>
    </w:p>
    <w:p w14:paraId="52F28091" w14:textId="77777777" w:rsidR="00A8538E" w:rsidRDefault="00A6768D">
      <w:pPr>
        <w:spacing w:after="60" w:line="259" w:lineRule="auto"/>
        <w:ind w:left="0" w:right="0" w:firstLine="0"/>
        <w:jc w:val="left"/>
      </w:pPr>
      <w:r>
        <w:rPr>
          <w:sz w:val="18"/>
        </w:rPr>
        <w:t xml:space="preserve"> </w:t>
      </w:r>
    </w:p>
    <w:p w14:paraId="3C3B1F28" w14:textId="77777777" w:rsidR="00A8538E" w:rsidRDefault="00A6768D" w:rsidP="00D21FED">
      <w:pPr>
        <w:ind w:right="0"/>
        <w:jc w:val="left"/>
      </w:pPr>
      <w:proofErr w:type="gramStart"/>
      <w:r>
        <w:t>en</w:t>
      </w:r>
      <w:proofErr w:type="gramEnd"/>
      <w:r>
        <w:t xml:space="preserve"> fonction de l’avancement des travaux, sous forme d’acomptes, proportionnellement au montant des</w:t>
      </w:r>
      <w:r w:rsidR="00D21FED">
        <w:t xml:space="preserve"> </w:t>
      </w:r>
      <w:r>
        <w:t xml:space="preserve">travaux effectués depuis le début à minima de 20. % d’avancement par acomptes : </w:t>
      </w:r>
    </w:p>
    <w:p w14:paraId="43270B43" w14:textId="77777777" w:rsidR="00A8538E" w:rsidRDefault="00A6768D" w:rsidP="00D21FED">
      <w:pPr>
        <w:ind w:left="-5" w:right="0"/>
        <w:jc w:val="left"/>
      </w:pPr>
      <w:r>
        <w:t>80</w:t>
      </w:r>
      <w:r w:rsidR="00D21FED">
        <w:t xml:space="preserve"> </w:t>
      </w:r>
      <w:r>
        <w:t xml:space="preserve">% à la date de l’accusé de réception, par les maître d’ouvrage du projet de décompte final et </w:t>
      </w:r>
      <w:proofErr w:type="gramStart"/>
      <w:r>
        <w:t>après  traitement</w:t>
      </w:r>
      <w:proofErr w:type="gramEnd"/>
      <w:r>
        <w:t xml:space="preserve"> des réclamations éventuelles des entreprises hors suivi de l’entretien des plantations  durant trois ans après leurs plantations : 20 %.  </w:t>
      </w:r>
    </w:p>
    <w:p w14:paraId="2C59DF12" w14:textId="77777777" w:rsidR="00D21FED" w:rsidRDefault="00D21FED">
      <w:pPr>
        <w:ind w:left="-5" w:right="0"/>
      </w:pPr>
    </w:p>
    <w:p w14:paraId="0ECF8351" w14:textId="77777777" w:rsidR="00A8538E" w:rsidRDefault="00A6768D">
      <w:pPr>
        <w:ind w:left="-5" w:right="0"/>
      </w:pPr>
      <w:r>
        <w:t xml:space="preserve">Élément AOR (Assistance lors des opérations de réception et pendant la garantie de parfait achèvement) </w:t>
      </w:r>
    </w:p>
    <w:p w14:paraId="49ED82BB" w14:textId="77777777" w:rsidR="00D21FED" w:rsidRDefault="00D21FED">
      <w:pPr>
        <w:ind w:left="-5" w:right="0"/>
      </w:pPr>
    </w:p>
    <w:p w14:paraId="37BD24A3" w14:textId="77777777" w:rsidR="00A8538E" w:rsidRDefault="00A6768D">
      <w:pPr>
        <w:spacing w:after="21" w:line="259" w:lineRule="auto"/>
        <w:ind w:left="0" w:right="0" w:firstLine="0"/>
        <w:jc w:val="left"/>
      </w:pPr>
      <w:r>
        <w:rPr>
          <w:sz w:val="18"/>
        </w:rPr>
        <w:t xml:space="preserve"> </w:t>
      </w:r>
    </w:p>
    <w:p w14:paraId="6E335FD9" w14:textId="77777777" w:rsidR="00A8538E" w:rsidRDefault="00A6768D">
      <w:pPr>
        <w:ind w:left="-5" w:right="0"/>
      </w:pPr>
      <w:r>
        <w:t xml:space="preserve">Les prestations incluses dans cet élément sont réglées comme suit : </w:t>
      </w:r>
    </w:p>
    <w:p w14:paraId="43F0F17B" w14:textId="77777777" w:rsidR="00A8538E" w:rsidRDefault="00A6768D">
      <w:pPr>
        <w:spacing w:after="57" w:line="259" w:lineRule="auto"/>
        <w:ind w:left="0" w:right="0" w:firstLine="0"/>
        <w:jc w:val="left"/>
      </w:pPr>
      <w:r>
        <w:rPr>
          <w:sz w:val="18"/>
        </w:rPr>
        <w:t xml:space="preserve"> </w:t>
      </w:r>
    </w:p>
    <w:p w14:paraId="0D6CDA06" w14:textId="77777777" w:rsidR="00A8538E" w:rsidRDefault="00A6768D">
      <w:pPr>
        <w:numPr>
          <w:ilvl w:val="0"/>
          <w:numId w:val="4"/>
        </w:numPr>
        <w:ind w:right="0" w:hanging="137"/>
      </w:pPr>
      <w:proofErr w:type="gramStart"/>
      <w:r>
        <w:lastRenderedPageBreak/>
        <w:t>à</w:t>
      </w:r>
      <w:proofErr w:type="gramEnd"/>
      <w:r>
        <w:t xml:space="preserve"> l’issue des opérations préalablement à la réception : à la date d’accusé de réception par le maître de l’ouvrage du procès-verbal des opérations préalables à la réception : 20,00 % ;  </w:t>
      </w:r>
    </w:p>
    <w:p w14:paraId="23F4BF98" w14:textId="77777777" w:rsidR="00A8538E" w:rsidRDefault="00A6768D">
      <w:pPr>
        <w:numPr>
          <w:ilvl w:val="0"/>
          <w:numId w:val="4"/>
        </w:numPr>
        <w:spacing w:after="33"/>
        <w:ind w:right="0" w:hanging="137"/>
      </w:pPr>
      <w:proofErr w:type="gramStart"/>
      <w:r>
        <w:t>à</w:t>
      </w:r>
      <w:proofErr w:type="gramEnd"/>
      <w:r>
        <w:t xml:space="preserve"> la remise du dossier des ouvrages exécutés (DOE) : 40,00 % ;  </w:t>
      </w:r>
    </w:p>
    <w:p w14:paraId="7F66F285" w14:textId="77777777" w:rsidR="00A8538E" w:rsidRDefault="00A6768D">
      <w:pPr>
        <w:numPr>
          <w:ilvl w:val="0"/>
          <w:numId w:val="4"/>
        </w:numPr>
        <w:spacing w:after="31"/>
        <w:ind w:right="0" w:hanging="137"/>
      </w:pPr>
      <w:proofErr w:type="gramStart"/>
      <w:r>
        <w:t>à</w:t>
      </w:r>
      <w:proofErr w:type="gramEnd"/>
      <w:r>
        <w:t xml:space="preserve"> l’achèvement des levées de réserves : 20,00 % ;  </w:t>
      </w:r>
    </w:p>
    <w:p w14:paraId="2B72E363" w14:textId="77777777" w:rsidR="00A8538E" w:rsidRDefault="00A6768D">
      <w:pPr>
        <w:numPr>
          <w:ilvl w:val="0"/>
          <w:numId w:val="4"/>
        </w:numPr>
        <w:ind w:right="0" w:hanging="137"/>
      </w:pPr>
      <w:proofErr w:type="gramStart"/>
      <w:r>
        <w:t>à</w:t>
      </w:r>
      <w:proofErr w:type="gramEnd"/>
      <w:r>
        <w:t xml:space="preserve"> la fin du délai d’un an de garantie de parfait achèvement des ouvrages ou à l’issue de sa  prolongation décidée par le maître de l’ouvrage : 10,00 %.  </w:t>
      </w:r>
    </w:p>
    <w:p w14:paraId="718A053C" w14:textId="77777777" w:rsidR="00A8538E" w:rsidRDefault="00A6768D">
      <w:pPr>
        <w:numPr>
          <w:ilvl w:val="0"/>
          <w:numId w:val="4"/>
        </w:numPr>
        <w:ind w:right="0" w:hanging="137"/>
      </w:pPr>
      <w:r>
        <w:t xml:space="preserve">A la fin du suivi de l’entretien des plantations durant trois ans après leurs plantations : 10.00 %  </w:t>
      </w:r>
    </w:p>
    <w:p w14:paraId="5BC4CAC8" w14:textId="77777777" w:rsidR="006D3D8C" w:rsidRDefault="006D3D8C" w:rsidP="006D3D8C">
      <w:pPr>
        <w:ind w:left="137" w:right="0" w:firstLine="0"/>
      </w:pPr>
    </w:p>
    <w:p w14:paraId="49EED925" w14:textId="518749C9" w:rsidR="006D3D8C" w:rsidRDefault="00A6768D" w:rsidP="006D3D8C">
      <w:pPr>
        <w:rPr>
          <w:b/>
        </w:rPr>
      </w:pPr>
      <w:r>
        <w:rPr>
          <w:i/>
        </w:rPr>
        <w:t xml:space="preserve"> </w:t>
      </w:r>
      <w:r w:rsidR="006D3D8C" w:rsidRPr="0096797D">
        <w:rPr>
          <w:b/>
        </w:rPr>
        <w:t>Pour l'OPC (Ordonnancement, Pilotage, Coordination)</w:t>
      </w:r>
      <w:r w:rsidR="005851FE">
        <w:rPr>
          <w:b/>
        </w:rPr>
        <w:t xml:space="preserve"> dite mission complémentaire</w:t>
      </w:r>
      <w:r w:rsidR="006D3D8C" w:rsidRPr="0096797D">
        <w:rPr>
          <w:b/>
        </w:rPr>
        <w:t xml:space="preserve"> :</w:t>
      </w:r>
    </w:p>
    <w:p w14:paraId="6B0D4E95" w14:textId="77777777" w:rsidR="006D3D8C" w:rsidRPr="00656DC1" w:rsidRDefault="006D3D8C" w:rsidP="006D3D8C">
      <w:pPr>
        <w:rPr>
          <w:b/>
          <w:color w:val="FF0000"/>
        </w:rPr>
      </w:pPr>
    </w:p>
    <w:p w14:paraId="788CAAC7" w14:textId="77E96360" w:rsidR="006D3D8C" w:rsidRPr="005851FE" w:rsidRDefault="006D3D8C" w:rsidP="006D3D8C">
      <w:pPr>
        <w:rPr>
          <w:color w:val="auto"/>
        </w:rPr>
      </w:pPr>
      <w:r w:rsidRPr="005851FE">
        <w:rPr>
          <w:color w:val="auto"/>
        </w:rPr>
        <w:t>Les prestations incluses dans cet élément sont réglées comme suit :</w:t>
      </w:r>
    </w:p>
    <w:p w14:paraId="4F964A31" w14:textId="77777777" w:rsidR="005851FE" w:rsidRPr="005851FE" w:rsidRDefault="005851FE" w:rsidP="006D3D8C">
      <w:pPr>
        <w:rPr>
          <w:color w:val="auto"/>
        </w:rPr>
      </w:pPr>
    </w:p>
    <w:p w14:paraId="47808FD9" w14:textId="77777777" w:rsidR="006D3D8C" w:rsidRPr="005851FE" w:rsidRDefault="006D3D8C" w:rsidP="006D3D8C">
      <w:pPr>
        <w:rPr>
          <w:color w:val="auto"/>
        </w:rPr>
      </w:pPr>
      <w:r w:rsidRPr="005851FE">
        <w:rPr>
          <w:color w:val="auto"/>
        </w:rPr>
        <w:tab/>
        <w:t>- à la fin de la phase de préparation de chantier : 20%</w:t>
      </w:r>
    </w:p>
    <w:p w14:paraId="2A1B65E7" w14:textId="77777777" w:rsidR="006D3D8C" w:rsidRPr="005851FE" w:rsidRDefault="006D3D8C" w:rsidP="006D3D8C">
      <w:pPr>
        <w:rPr>
          <w:color w:val="auto"/>
        </w:rPr>
      </w:pPr>
      <w:r w:rsidRPr="005851FE">
        <w:rPr>
          <w:color w:val="auto"/>
        </w:rPr>
        <w:tab/>
        <w:t xml:space="preserve">- en fonction de l'avancement des travaux, sous forme d'acomptes, proportionnellement au délai d'exécution des travaux effectués depuis le début suivant la formule : 60% (montant OPC / n), </w:t>
      </w:r>
      <w:proofErr w:type="spellStart"/>
      <w:r w:rsidRPr="005851FE">
        <w:rPr>
          <w:i/>
          <w:color w:val="auto"/>
        </w:rPr>
        <w:t xml:space="preserve">n </w:t>
      </w:r>
      <w:r w:rsidRPr="005851FE">
        <w:rPr>
          <w:color w:val="auto"/>
        </w:rPr>
        <w:t>étant</w:t>
      </w:r>
      <w:proofErr w:type="spellEnd"/>
      <w:r w:rsidRPr="005851FE">
        <w:rPr>
          <w:color w:val="auto"/>
        </w:rPr>
        <w:t xml:space="preserve"> le nombre de mois correspondant à la période et le nombre de mois de </w:t>
      </w:r>
      <w:proofErr w:type="gramStart"/>
      <w:r w:rsidRPr="005851FE">
        <w:rPr>
          <w:color w:val="auto"/>
        </w:rPr>
        <w:t>chantier;</w:t>
      </w:r>
      <w:proofErr w:type="gramEnd"/>
    </w:p>
    <w:p w14:paraId="7821223C" w14:textId="77777777" w:rsidR="006D3D8C" w:rsidRPr="005851FE" w:rsidRDefault="006D3D8C" w:rsidP="006D3D8C">
      <w:pPr>
        <w:rPr>
          <w:color w:val="auto"/>
        </w:rPr>
      </w:pPr>
      <w:r w:rsidRPr="005851FE">
        <w:rPr>
          <w:color w:val="auto"/>
        </w:rPr>
        <w:tab/>
        <w:t>- à la réception des travaux : 20%.</w:t>
      </w:r>
    </w:p>
    <w:p w14:paraId="2A2B5767" w14:textId="77777777" w:rsidR="006D3D8C" w:rsidRDefault="006D3D8C" w:rsidP="006D3D8C">
      <w:pPr>
        <w:spacing w:after="0" w:line="259" w:lineRule="auto"/>
        <w:ind w:left="0" w:right="0" w:firstLine="0"/>
        <w:jc w:val="left"/>
      </w:pPr>
    </w:p>
    <w:p w14:paraId="56F7B872" w14:textId="77777777" w:rsidR="00A8538E" w:rsidRDefault="00A8538E">
      <w:pPr>
        <w:spacing w:after="17" w:line="259" w:lineRule="auto"/>
        <w:ind w:left="0" w:right="0" w:firstLine="0"/>
        <w:jc w:val="left"/>
      </w:pPr>
    </w:p>
    <w:p w14:paraId="786BCBBF" w14:textId="77777777" w:rsidR="00A8538E" w:rsidRDefault="00A6768D">
      <w:pPr>
        <w:pStyle w:val="Titre3"/>
        <w:ind w:left="-5"/>
      </w:pPr>
      <w:r>
        <w:t xml:space="preserve">- Modalités de règlement de l’acompte </w:t>
      </w:r>
    </w:p>
    <w:p w14:paraId="5A745286" w14:textId="77777777" w:rsidR="00A8538E" w:rsidRDefault="00A6768D">
      <w:pPr>
        <w:spacing w:after="48" w:line="259" w:lineRule="auto"/>
        <w:ind w:left="0" w:right="0" w:firstLine="0"/>
        <w:jc w:val="left"/>
        <w:rPr>
          <w:sz w:val="18"/>
        </w:rPr>
      </w:pPr>
      <w:r>
        <w:rPr>
          <w:sz w:val="18"/>
        </w:rPr>
        <w:t xml:space="preserve"> </w:t>
      </w:r>
    </w:p>
    <w:p w14:paraId="3B8ECD80" w14:textId="77777777" w:rsidR="007C26A9" w:rsidRPr="005851FE" w:rsidRDefault="007C26A9" w:rsidP="007C26A9">
      <w:pPr>
        <w:pStyle w:val="RedaliaNormalCarCar"/>
        <w:rPr>
          <w:rFonts w:ascii="Arial" w:hAnsi="Arial" w:cs="Arial"/>
          <w:szCs w:val="22"/>
        </w:rPr>
      </w:pPr>
      <w:r w:rsidRPr="005851FE">
        <w:rPr>
          <w:rFonts w:ascii="Arial" w:hAnsi="Arial" w:cs="Arial"/>
          <w:szCs w:val="22"/>
        </w:rPr>
        <w:t>Les prestations, objet du présent marché, seront rémunérées dans les conditions fixées par les règles de la comptabilité publique.</w:t>
      </w:r>
    </w:p>
    <w:p w14:paraId="706E73C6" w14:textId="77777777" w:rsidR="007C26A9" w:rsidRPr="005851FE" w:rsidRDefault="007C26A9" w:rsidP="007C26A9">
      <w:pPr>
        <w:pStyle w:val="RedaliaNormalCarCar"/>
        <w:rPr>
          <w:rFonts w:ascii="Arial" w:hAnsi="Arial" w:cs="Arial"/>
          <w:szCs w:val="22"/>
        </w:rPr>
      </w:pPr>
      <w:r w:rsidRPr="005851FE">
        <w:rPr>
          <w:rFonts w:ascii="Arial" w:hAnsi="Arial" w:cs="Arial"/>
          <w:szCs w:val="22"/>
        </w:rPr>
        <w:t>Les modalités du règlement des comptes du marché sont les suivantes :</w:t>
      </w:r>
    </w:p>
    <w:p w14:paraId="585C6FAF" w14:textId="77777777" w:rsidR="007C26A9" w:rsidRPr="005851FE" w:rsidRDefault="007C26A9" w:rsidP="007C26A9">
      <w:pPr>
        <w:pStyle w:val="RdaliaRetraitniveau1"/>
        <w:tabs>
          <w:tab w:val="clear" w:pos="360"/>
        </w:tabs>
        <w:ind w:left="0" w:firstLine="0"/>
        <w:rPr>
          <w:rFonts w:ascii="Arial" w:hAnsi="Arial" w:cs="Arial"/>
          <w:b/>
        </w:rPr>
      </w:pPr>
      <w:bookmarkStart w:id="18" w:name="Prg_MarchéUnique_23"/>
      <w:bookmarkStart w:id="19" w:name="Prg_MarcheSimple_01"/>
      <w:bookmarkStart w:id="20" w:name="Prg_MarcheTranche_12"/>
      <w:bookmarkStart w:id="21" w:name="Prg_MBC_24"/>
      <w:bookmarkEnd w:id="18"/>
      <w:bookmarkEnd w:id="19"/>
      <w:bookmarkEnd w:id="20"/>
      <w:bookmarkEnd w:id="21"/>
    </w:p>
    <w:p w14:paraId="6D35770B" w14:textId="77777777" w:rsidR="007C26A9" w:rsidRPr="005851FE" w:rsidRDefault="007C26A9" w:rsidP="007C26A9">
      <w:pPr>
        <w:pStyle w:val="RdaliaRetraitniveau1"/>
        <w:tabs>
          <w:tab w:val="clear" w:pos="360"/>
        </w:tabs>
        <w:ind w:left="0" w:firstLine="0"/>
        <w:rPr>
          <w:rFonts w:ascii="Arial" w:hAnsi="Arial" w:cs="Arial"/>
          <w:b/>
        </w:rPr>
      </w:pPr>
      <w:r w:rsidRPr="005851FE">
        <w:rPr>
          <w:rFonts w:ascii="Arial" w:hAnsi="Arial" w:cs="Arial"/>
        </w:rPr>
        <w:t xml:space="preserve">- La périodicité du versement des acomptes est fixée au maximum à trois mois. Ce maximum est ramené à un mois dans les conditions fixées à </w:t>
      </w:r>
      <w:r w:rsidRPr="005851FE">
        <w:rPr>
          <w:rFonts w:ascii="Arial" w:hAnsi="Arial" w:cs="Arial"/>
          <w:b/>
        </w:rPr>
        <w:t>l’article 114 du Décret 2016-360 du 25 mars 2016 relatif aux marchés publics.</w:t>
      </w:r>
    </w:p>
    <w:p w14:paraId="3724E578" w14:textId="77777777" w:rsidR="007C26A9" w:rsidRPr="005851FE" w:rsidRDefault="007C26A9" w:rsidP="007C26A9">
      <w:pPr>
        <w:rPr>
          <w:color w:val="auto"/>
        </w:rPr>
      </w:pPr>
    </w:p>
    <w:p w14:paraId="1D840BD4" w14:textId="4E26917D" w:rsidR="007C26A9" w:rsidRPr="005851FE" w:rsidRDefault="007C26A9" w:rsidP="007C26A9">
      <w:pPr>
        <w:rPr>
          <w:color w:val="auto"/>
        </w:rPr>
      </w:pPr>
      <w:r w:rsidRPr="005851FE">
        <w:rPr>
          <w:color w:val="auto"/>
        </w:rPr>
        <w:tab/>
        <w:t>Le montant de chaque acompte relatif aux éléments et aux parties d'éléments de la mission considérés comme constituant des phases techniques d'exécution, sera déterminé sous forme de pourcentage du montant initial du marché.</w:t>
      </w:r>
    </w:p>
    <w:p w14:paraId="6DC698AF" w14:textId="77777777" w:rsidR="007C26A9" w:rsidRPr="007C26A9" w:rsidRDefault="007C26A9" w:rsidP="007C26A9">
      <w:pPr>
        <w:rPr>
          <w:color w:val="FF0000"/>
        </w:rPr>
      </w:pPr>
    </w:p>
    <w:p w14:paraId="76DC5527" w14:textId="77777777" w:rsidR="007C26A9" w:rsidRPr="005851FE" w:rsidRDefault="007C26A9" w:rsidP="007C26A9">
      <w:pPr>
        <w:rPr>
          <w:color w:val="auto"/>
        </w:rPr>
      </w:pPr>
      <w:r w:rsidRPr="005851FE">
        <w:rPr>
          <w:color w:val="auto"/>
        </w:rPr>
        <w:lastRenderedPageBreak/>
        <w:tab/>
        <w:t>Les acomptes relatifs à l'élément ou parties d'éléments Projet (PRO) seront payés sur la base du forfait provisoire de rémunération figurant à l'acte d'engagement.</w:t>
      </w:r>
    </w:p>
    <w:p w14:paraId="7DBBA270" w14:textId="77777777" w:rsidR="007C26A9" w:rsidRPr="005851FE" w:rsidRDefault="007C26A9" w:rsidP="007C26A9">
      <w:pPr>
        <w:rPr>
          <w:color w:val="auto"/>
        </w:rPr>
      </w:pPr>
    </w:p>
    <w:p w14:paraId="2253AAD6" w14:textId="77777777" w:rsidR="007C26A9" w:rsidRPr="005851FE" w:rsidRDefault="007C26A9" w:rsidP="007C26A9">
      <w:pPr>
        <w:rPr>
          <w:color w:val="auto"/>
        </w:rPr>
      </w:pPr>
      <w:r w:rsidRPr="005851FE">
        <w:rPr>
          <w:color w:val="auto"/>
        </w:rPr>
        <w:tab/>
        <w:t>Après passation de l'avenant fixant le coût prévisionnel des travaux sur lequel s'engage le maître d'œuvre et le forfait définitif de rémunération (articles 29 et 30 du décret 93-1268 du 29 novembre 1993), il sera procédé, si nécessaire, à un réajustement. Ce réajustement consistera en une augmentation ou en une réduction du montant des acomptes.</w:t>
      </w:r>
    </w:p>
    <w:p w14:paraId="6AFE27D2" w14:textId="602A2307" w:rsidR="00A8538E" w:rsidRDefault="00A8538E">
      <w:pPr>
        <w:spacing w:after="0" w:line="259" w:lineRule="auto"/>
        <w:ind w:left="0" w:right="0" w:firstLine="0"/>
        <w:jc w:val="left"/>
      </w:pPr>
    </w:p>
    <w:p w14:paraId="0258D95A" w14:textId="77777777" w:rsidR="007C26A9" w:rsidRDefault="007C26A9">
      <w:pPr>
        <w:spacing w:after="0" w:line="259" w:lineRule="auto"/>
        <w:ind w:left="0" w:right="0" w:firstLine="0"/>
        <w:jc w:val="left"/>
      </w:pPr>
    </w:p>
    <w:p w14:paraId="2596F7C3" w14:textId="77777777" w:rsidR="00A8538E" w:rsidRDefault="00A6768D">
      <w:pPr>
        <w:pStyle w:val="Titre3"/>
        <w:ind w:left="-5"/>
      </w:pPr>
      <w:r>
        <w:rPr>
          <w:i w:val="0"/>
        </w:rPr>
        <w:t xml:space="preserve">- </w:t>
      </w:r>
      <w:r>
        <w:t>Contenu de la demande de paiement</w:t>
      </w:r>
      <w:r>
        <w:rPr>
          <w:i w:val="0"/>
        </w:rPr>
        <w:t xml:space="preserve">  </w:t>
      </w:r>
    </w:p>
    <w:p w14:paraId="2BABB1CF" w14:textId="77777777" w:rsidR="007C26A9" w:rsidRDefault="007C26A9">
      <w:pPr>
        <w:spacing w:after="56" w:line="259" w:lineRule="auto"/>
        <w:ind w:left="0" w:right="0" w:firstLine="0"/>
        <w:jc w:val="left"/>
        <w:rPr>
          <w:sz w:val="18"/>
        </w:rPr>
      </w:pPr>
    </w:p>
    <w:p w14:paraId="74D124FE" w14:textId="77777777" w:rsidR="007C26A9" w:rsidRDefault="007C26A9" w:rsidP="007C26A9">
      <w:r>
        <w:t>Les taux de rémunération de chacun des éléments de mission du marché sont spécifiés à l'acte d'engagement, et son annexe.</w:t>
      </w:r>
    </w:p>
    <w:p w14:paraId="16851977" w14:textId="77777777" w:rsidR="007C26A9" w:rsidRDefault="007C26A9" w:rsidP="007C26A9"/>
    <w:p w14:paraId="0B2EA102" w14:textId="69080D1B" w:rsidR="007C26A9" w:rsidRDefault="007C26A9" w:rsidP="007C26A9">
      <w:pPr>
        <w:autoSpaceDE w:val="0"/>
        <w:autoSpaceDN w:val="0"/>
        <w:adjustRightInd w:val="0"/>
      </w:pPr>
      <w:r>
        <w:tab/>
      </w:r>
      <w:r w:rsidRPr="00BC20CA">
        <w:t xml:space="preserve">Le règlement des sommes dues au maître d'œuvre fait l'objet d'acomptes périodiques, dont la </w:t>
      </w:r>
      <w:r>
        <w:t>f</w:t>
      </w:r>
      <w:r w:rsidRPr="00BC20CA">
        <w:t xml:space="preserve">réquence est déterminée à l'article </w:t>
      </w:r>
      <w:r w:rsidR="006D3D8C">
        <w:t>3.6</w:t>
      </w:r>
      <w:r w:rsidRPr="00BC20CA">
        <w:t xml:space="preserve"> ci-dessus, calculés à partir de la différence entre deux décomptes périodiques successifs. Chaque décompte est lui-même établi à partir d'un état périodique dans les conditions ci-après définies : </w:t>
      </w:r>
    </w:p>
    <w:p w14:paraId="16E374BD" w14:textId="77777777" w:rsidR="007C26A9" w:rsidRPr="00BC20CA" w:rsidRDefault="007C26A9" w:rsidP="007C26A9">
      <w:pPr>
        <w:autoSpaceDE w:val="0"/>
        <w:autoSpaceDN w:val="0"/>
        <w:adjustRightInd w:val="0"/>
      </w:pPr>
    </w:p>
    <w:p w14:paraId="2F02342D" w14:textId="77777777" w:rsidR="007C26A9" w:rsidRPr="00BC20CA" w:rsidRDefault="007C26A9" w:rsidP="007C26A9">
      <w:pPr>
        <w:autoSpaceDE w:val="0"/>
        <w:autoSpaceDN w:val="0"/>
        <w:adjustRightInd w:val="0"/>
      </w:pPr>
      <w:r>
        <w:tab/>
      </w:r>
      <w:r w:rsidRPr="00BC20CA">
        <w:t xml:space="preserve">a. </w:t>
      </w:r>
      <w:r w:rsidRPr="00882FCB">
        <w:rPr>
          <w:u w:val="single"/>
        </w:rPr>
        <w:t>Etat périodique</w:t>
      </w:r>
      <w:r w:rsidRPr="00BC20CA">
        <w:t xml:space="preserve"> </w:t>
      </w:r>
    </w:p>
    <w:p w14:paraId="02988110" w14:textId="77777777" w:rsidR="007C26A9" w:rsidRPr="00BC20CA" w:rsidRDefault="007C26A9" w:rsidP="007C26A9">
      <w:pPr>
        <w:autoSpaceDE w:val="0"/>
        <w:autoSpaceDN w:val="0"/>
        <w:adjustRightInd w:val="0"/>
      </w:pPr>
      <w:r w:rsidRPr="00BC20CA">
        <w:t xml:space="preserve">L'état périodique, établi par le maître d'œuvre, indique les prestations effectuées par celui-ci depuis le début du marché par référence aux éléments constitutifs de la mission. </w:t>
      </w:r>
    </w:p>
    <w:p w14:paraId="2F9BE6B4" w14:textId="77777777" w:rsidR="007C26A9" w:rsidRDefault="007C26A9" w:rsidP="007C26A9">
      <w:pPr>
        <w:autoSpaceDE w:val="0"/>
        <w:autoSpaceDN w:val="0"/>
        <w:adjustRightInd w:val="0"/>
      </w:pPr>
      <w:r w:rsidRPr="00BC20CA">
        <w:t xml:space="preserve">L'état périodique sert de base à l'établissement par le maître d'œuvre du projet de décompte périodique auquel il doit être annexé. </w:t>
      </w:r>
    </w:p>
    <w:p w14:paraId="0AEE6176" w14:textId="77777777" w:rsidR="007C26A9" w:rsidRPr="00BC20CA" w:rsidRDefault="007C26A9" w:rsidP="007C26A9">
      <w:pPr>
        <w:autoSpaceDE w:val="0"/>
        <w:autoSpaceDN w:val="0"/>
        <w:adjustRightInd w:val="0"/>
      </w:pPr>
    </w:p>
    <w:p w14:paraId="761D9CB8" w14:textId="77777777" w:rsidR="007C26A9" w:rsidRPr="00BC20CA" w:rsidRDefault="007C26A9" w:rsidP="007C26A9">
      <w:pPr>
        <w:autoSpaceDE w:val="0"/>
        <w:autoSpaceDN w:val="0"/>
        <w:adjustRightInd w:val="0"/>
      </w:pPr>
      <w:r>
        <w:tab/>
      </w:r>
      <w:r w:rsidRPr="00BC20CA">
        <w:t xml:space="preserve">b. </w:t>
      </w:r>
      <w:r w:rsidRPr="00882FCB">
        <w:rPr>
          <w:u w:val="single"/>
        </w:rPr>
        <w:t>Projet de décompte périodique</w:t>
      </w:r>
      <w:r w:rsidRPr="00BC20CA">
        <w:t xml:space="preserve"> </w:t>
      </w:r>
    </w:p>
    <w:p w14:paraId="6912292A" w14:textId="77777777" w:rsidR="007C26A9" w:rsidRDefault="007C26A9" w:rsidP="007C26A9">
      <w:pPr>
        <w:autoSpaceDE w:val="0"/>
        <w:autoSpaceDN w:val="0"/>
        <w:adjustRightInd w:val="0"/>
      </w:pPr>
      <w:r w:rsidRPr="00BC20CA">
        <w:t xml:space="preserve">Pour l'application de l'article 11 du CCAG PI, le maître d'œuvre envoie au maître de l'ouvrage, par lettre recommandée avec avis de réception postal ou lui remet contre récépissé dûment daté, son projet de décompte périodique. </w:t>
      </w:r>
    </w:p>
    <w:p w14:paraId="78C226DE" w14:textId="77777777" w:rsidR="007C26A9" w:rsidRPr="00BC20CA" w:rsidRDefault="007C26A9" w:rsidP="007C26A9">
      <w:pPr>
        <w:autoSpaceDE w:val="0"/>
        <w:autoSpaceDN w:val="0"/>
        <w:adjustRightInd w:val="0"/>
      </w:pPr>
    </w:p>
    <w:p w14:paraId="4B5A0118" w14:textId="77777777" w:rsidR="007C26A9" w:rsidRPr="00BC20CA" w:rsidRDefault="007C26A9" w:rsidP="007C26A9">
      <w:pPr>
        <w:autoSpaceDE w:val="0"/>
        <w:autoSpaceDN w:val="0"/>
        <w:adjustRightInd w:val="0"/>
      </w:pPr>
      <w:r>
        <w:tab/>
      </w:r>
      <w:r w:rsidRPr="00BC20CA">
        <w:t xml:space="preserve">c. </w:t>
      </w:r>
      <w:r w:rsidRPr="00882FCB">
        <w:rPr>
          <w:u w:val="single"/>
        </w:rPr>
        <w:t>Décompte périodique</w:t>
      </w:r>
      <w:r w:rsidRPr="00BC20CA">
        <w:t xml:space="preserve"> </w:t>
      </w:r>
    </w:p>
    <w:p w14:paraId="56E8C5AB" w14:textId="77777777" w:rsidR="007C26A9" w:rsidRPr="00BC20CA" w:rsidRDefault="007C26A9" w:rsidP="007C26A9">
      <w:r w:rsidRPr="00BC20CA">
        <w:t xml:space="preserve">Le décompte périodique établi par le maître de l'ouvrage correspond au montant des sommes dues du début du marché à l'expiration de la période correspondante. Ce montant est établi à partir du projet de </w:t>
      </w:r>
      <w:r w:rsidRPr="00BC20CA">
        <w:lastRenderedPageBreak/>
        <w:t>décompte périodique, sur l'évaluation du montant HT, en prix de base de la fraction de la rémunération initiale à régler compte tenu des prestations effectuées.</w:t>
      </w:r>
    </w:p>
    <w:p w14:paraId="73DAB732" w14:textId="2C2D29F7" w:rsidR="00A8538E" w:rsidRDefault="00A8538E">
      <w:pPr>
        <w:spacing w:after="37" w:line="259" w:lineRule="auto"/>
        <w:ind w:left="0" w:right="0" w:firstLine="0"/>
        <w:jc w:val="left"/>
      </w:pPr>
    </w:p>
    <w:p w14:paraId="28B2E79D" w14:textId="77777777" w:rsidR="00A8538E" w:rsidRDefault="00A6768D">
      <w:pPr>
        <w:ind w:left="-5" w:right="0"/>
      </w:pPr>
      <w:r>
        <w:t xml:space="preserve">La demande de paiement est envoyée aux maîtres d’ouvrage par lettre recommandée avec avis de réception postal ou lui est remise contre récépissé dûment daté. </w:t>
      </w:r>
    </w:p>
    <w:p w14:paraId="726C328C" w14:textId="77777777" w:rsidR="00A8538E" w:rsidRDefault="00A6768D">
      <w:pPr>
        <w:spacing w:after="28" w:line="259" w:lineRule="auto"/>
        <w:ind w:left="0" w:right="0" w:firstLine="0"/>
        <w:jc w:val="left"/>
      </w:pPr>
      <w:r>
        <w:rPr>
          <w:sz w:val="18"/>
        </w:rPr>
        <w:t xml:space="preserve"> </w:t>
      </w:r>
    </w:p>
    <w:p w14:paraId="3BDC0DC2" w14:textId="77777777" w:rsidR="00A8538E" w:rsidRDefault="00A6768D">
      <w:pPr>
        <w:ind w:left="-5" w:right="0"/>
      </w:pPr>
      <w:r>
        <w:t xml:space="preserve">Les maîtres d’ouvrage acceptent ou rectifient la demande de paiement. Ils la complètent, éventuellement, en faisant apparaître les avances à rembourser, les primes et les réfactions imposées, les pénalités. Ils arrêtent le montant de la somme à régler et, s’il est différent du montant figurant dans la demande de paiement, ils le notifient ainsi </w:t>
      </w:r>
      <w:proofErr w:type="gramStart"/>
      <w:r>
        <w:t>arrêté</w:t>
      </w:r>
      <w:proofErr w:type="gramEnd"/>
      <w:r>
        <w:t xml:space="preserve"> au maître d’œuvre. </w:t>
      </w:r>
    </w:p>
    <w:p w14:paraId="0408B0B5" w14:textId="77777777" w:rsidR="007C26A9" w:rsidRDefault="007C26A9">
      <w:pPr>
        <w:ind w:left="-5" w:right="0"/>
      </w:pPr>
    </w:p>
    <w:p w14:paraId="5C6FD270" w14:textId="77777777" w:rsidR="007C26A9" w:rsidRDefault="007C26A9">
      <w:pPr>
        <w:ind w:left="-5" w:right="0"/>
      </w:pPr>
    </w:p>
    <w:p w14:paraId="48E905DA" w14:textId="77777777" w:rsidR="007C26A9" w:rsidRPr="00B82C25" w:rsidRDefault="007C26A9" w:rsidP="007C26A9">
      <w:pPr>
        <w:ind w:left="142"/>
        <w:rPr>
          <w:u w:val="single"/>
        </w:rPr>
      </w:pPr>
      <w:r w:rsidRPr="00B82C25">
        <w:rPr>
          <w:u w:val="single"/>
        </w:rPr>
        <w:t>Dématérialisation des factures</w:t>
      </w:r>
    </w:p>
    <w:p w14:paraId="2E925D01" w14:textId="77777777" w:rsidR="007C26A9" w:rsidRDefault="007C26A9" w:rsidP="007C26A9">
      <w:pPr>
        <w:ind w:left="142"/>
      </w:pPr>
    </w:p>
    <w:p w14:paraId="4006BCEA" w14:textId="77777777" w:rsidR="007C26A9" w:rsidRDefault="007C26A9" w:rsidP="007C26A9">
      <w:pPr>
        <w:ind w:left="142"/>
      </w:pPr>
      <w:r>
        <w:t>La dématérialisation des factures va progressivement devenir obligatoire.</w:t>
      </w:r>
    </w:p>
    <w:p w14:paraId="5D8A36C5" w14:textId="77777777" w:rsidR="007C26A9" w:rsidRDefault="007C26A9" w:rsidP="007C26A9">
      <w:pPr>
        <w:ind w:left="142"/>
      </w:pPr>
      <w:r>
        <w:t>Conformément à la loi n°2014-1 du 2 janvier 2014 et l'ordonnance n°2014-697 du 26 juin 2014 :</w:t>
      </w:r>
    </w:p>
    <w:p w14:paraId="1A6414A3" w14:textId="77777777" w:rsidR="007C26A9" w:rsidRDefault="007C26A9" w:rsidP="007C26A9">
      <w:pPr>
        <w:ind w:left="142"/>
      </w:pPr>
      <w:r>
        <w:tab/>
        <w:t>- depuis le 1</w:t>
      </w:r>
      <w:r w:rsidRPr="00E50A90">
        <w:rPr>
          <w:vertAlign w:val="superscript"/>
        </w:rPr>
        <w:t>er</w:t>
      </w:r>
      <w:r>
        <w:t xml:space="preserve"> janvier 2017, seules les entreprises de plus de 5 000 personnes ont l'obligation de transmettre des factures électroniques aux acheteurs </w:t>
      </w:r>
      <w:proofErr w:type="gramStart"/>
      <w:r>
        <w:t>publics;</w:t>
      </w:r>
      <w:proofErr w:type="gramEnd"/>
    </w:p>
    <w:p w14:paraId="0C78685E" w14:textId="77777777" w:rsidR="007C26A9" w:rsidRDefault="007C26A9" w:rsidP="007C26A9">
      <w:pPr>
        <w:ind w:left="142"/>
      </w:pPr>
      <w:r>
        <w:tab/>
        <w:t>- au 1</w:t>
      </w:r>
      <w:r w:rsidRPr="00E50A90">
        <w:rPr>
          <w:vertAlign w:val="superscript"/>
        </w:rPr>
        <w:t>er</w:t>
      </w:r>
      <w:r>
        <w:t xml:space="preserve"> janvier 2018, ce sont les entreprises de tailles intermédiaires (moins de 5 000 </w:t>
      </w:r>
      <w:proofErr w:type="gramStart"/>
      <w:r>
        <w:t>personnes)  qui</w:t>
      </w:r>
      <w:proofErr w:type="gramEnd"/>
      <w:r>
        <w:t xml:space="preserve"> doivent satisfaire à cette obligation;</w:t>
      </w:r>
    </w:p>
    <w:p w14:paraId="024885A4" w14:textId="77777777" w:rsidR="007C26A9" w:rsidRDefault="007C26A9" w:rsidP="007C26A9">
      <w:pPr>
        <w:ind w:left="142"/>
      </w:pPr>
      <w:r>
        <w:tab/>
        <w:t>- au 1</w:t>
      </w:r>
      <w:r w:rsidRPr="00E50A90">
        <w:rPr>
          <w:vertAlign w:val="superscript"/>
        </w:rPr>
        <w:t>er</w:t>
      </w:r>
      <w:r>
        <w:t xml:space="preserve"> janvier 2019, les petites et moyennes entreprises (moins de 2 500 personnes) devront à leur tour ne transmettre que les factures électroniques pour demander le paiement de leurs </w:t>
      </w:r>
      <w:r w:rsidRPr="000632EA">
        <w:fldChar w:fldCharType="begin">
          <w:ffData>
            <w:name w:val="ListeDéroulante9"/>
            <w:enabled/>
            <w:calcOnExit w:val="0"/>
            <w:ddList>
              <w:listEntry w:val="prestations"/>
              <w:listEntry w:val="travaux"/>
              <w:listEntry w:val="fournitures"/>
            </w:ddList>
          </w:ffData>
        </w:fldChar>
      </w:r>
      <w:bookmarkStart w:id="22" w:name="ListeDéroulante9"/>
      <w:r w:rsidRPr="000632EA">
        <w:instrText xml:space="preserve"> FORMDROPDOWN </w:instrText>
      </w:r>
      <w:r w:rsidR="00B36A93">
        <w:fldChar w:fldCharType="separate"/>
      </w:r>
      <w:r w:rsidRPr="000632EA">
        <w:fldChar w:fldCharType="end"/>
      </w:r>
      <w:bookmarkEnd w:id="22"/>
      <w:r w:rsidRPr="000632EA">
        <w:t xml:space="preserve"> .</w:t>
      </w:r>
    </w:p>
    <w:p w14:paraId="333B8D7D" w14:textId="77777777" w:rsidR="007C26A9" w:rsidRPr="00E50A90" w:rsidRDefault="007C26A9" w:rsidP="007C26A9">
      <w:pPr>
        <w:ind w:left="142"/>
        <w:rPr>
          <w:color w:val="FF0000"/>
        </w:rPr>
      </w:pPr>
      <w:r>
        <w:tab/>
        <w:t>- au 1</w:t>
      </w:r>
      <w:r w:rsidRPr="007D53CE">
        <w:rPr>
          <w:vertAlign w:val="superscript"/>
        </w:rPr>
        <w:t>er</w:t>
      </w:r>
      <w:r>
        <w:t xml:space="preserve"> janvier 2020, les micro-entreprises devront satisfaire à cette obligation.</w:t>
      </w:r>
    </w:p>
    <w:p w14:paraId="0EAFD500" w14:textId="77777777" w:rsidR="007C26A9" w:rsidRDefault="007C26A9" w:rsidP="007C26A9">
      <w:pPr>
        <w:ind w:left="142"/>
      </w:pPr>
      <w:r>
        <w:t>Ces dispositions s'appliquent tant au titulaire du marché qu'aux sous-traitants bénéficiant du paiement direct.</w:t>
      </w:r>
    </w:p>
    <w:p w14:paraId="0A8B0A4A" w14:textId="5BAFA605" w:rsidR="007C26A9" w:rsidRDefault="007C26A9" w:rsidP="007C26A9">
      <w:pPr>
        <w:ind w:left="142"/>
      </w:pPr>
      <w:r>
        <w:t>Les modalités pratiques de dépôt de vos factures dématérialisées ainsi que l'adresse du site dédié seront communiqué</w:t>
      </w:r>
      <w:r w:rsidR="005851FE">
        <w:t>e</w:t>
      </w:r>
      <w:r>
        <w:t>s en cours d'exécution du marché par chaque maître d'ouvrage.</w:t>
      </w:r>
    </w:p>
    <w:p w14:paraId="13166F95" w14:textId="77777777" w:rsidR="007C26A9" w:rsidRDefault="007C26A9">
      <w:pPr>
        <w:ind w:left="-5" w:right="0"/>
      </w:pPr>
    </w:p>
    <w:p w14:paraId="5EC37188" w14:textId="77777777" w:rsidR="00A8538E" w:rsidRDefault="00A6768D">
      <w:pPr>
        <w:spacing w:after="0" w:line="259" w:lineRule="auto"/>
        <w:ind w:left="0" w:right="0" w:firstLine="0"/>
        <w:jc w:val="left"/>
      </w:pPr>
      <w:r>
        <w:t xml:space="preserve"> </w:t>
      </w:r>
    </w:p>
    <w:p w14:paraId="0AE75669" w14:textId="77777777" w:rsidR="00A8538E" w:rsidRDefault="00A6768D">
      <w:pPr>
        <w:pStyle w:val="Titre2"/>
        <w:ind w:left="-5"/>
      </w:pPr>
      <w:bookmarkStart w:id="23" w:name="_Toc513628506"/>
      <w:r>
        <w:t>Article 3-7 Solde</w:t>
      </w:r>
      <w:bookmarkEnd w:id="23"/>
      <w:r>
        <w:rPr>
          <w:u w:val="none"/>
        </w:rPr>
        <w:t xml:space="preserve"> </w:t>
      </w:r>
    </w:p>
    <w:p w14:paraId="67EAB21D" w14:textId="77777777" w:rsidR="00A8538E" w:rsidRDefault="00A6768D">
      <w:pPr>
        <w:spacing w:after="52" w:line="259" w:lineRule="auto"/>
        <w:ind w:left="0" w:right="0" w:firstLine="0"/>
        <w:jc w:val="left"/>
      </w:pPr>
      <w:r>
        <w:rPr>
          <w:sz w:val="18"/>
        </w:rPr>
        <w:t xml:space="preserve"> </w:t>
      </w:r>
    </w:p>
    <w:p w14:paraId="31BFF6AD" w14:textId="77777777" w:rsidR="00A8538E" w:rsidRDefault="00A6768D">
      <w:pPr>
        <w:ind w:left="-5" w:right="0"/>
      </w:pPr>
      <w:r>
        <w:lastRenderedPageBreak/>
        <w:t xml:space="preserve">Après constatation de l’achèvement de sa mission dans les conditions prévues à l’article 6-13, le maître d’œuvre adresse aux maîtres d’ouvrage une demande de paiement du solde sous forme d’un projet de décompte final. </w:t>
      </w:r>
    </w:p>
    <w:p w14:paraId="2C671328" w14:textId="77777777" w:rsidR="00A8538E" w:rsidRDefault="00A6768D">
      <w:pPr>
        <w:spacing w:after="21" w:line="259" w:lineRule="auto"/>
        <w:ind w:left="0" w:right="0" w:firstLine="0"/>
        <w:jc w:val="left"/>
      </w:pPr>
      <w:r>
        <w:rPr>
          <w:sz w:val="18"/>
        </w:rPr>
        <w:t xml:space="preserve"> </w:t>
      </w:r>
    </w:p>
    <w:p w14:paraId="0956A3E0" w14:textId="77777777" w:rsidR="00A8538E" w:rsidRDefault="00A6768D">
      <w:pPr>
        <w:ind w:left="-5" w:right="0"/>
      </w:pPr>
      <w:r>
        <w:t xml:space="preserve">Le décompte final établi par les maîtres d’ouvrage comprend : </w:t>
      </w:r>
    </w:p>
    <w:p w14:paraId="5BD980A5" w14:textId="77777777" w:rsidR="00A8538E" w:rsidRDefault="00A6768D">
      <w:pPr>
        <w:spacing w:after="19" w:line="259" w:lineRule="auto"/>
        <w:ind w:left="0" w:right="0" w:firstLine="0"/>
        <w:jc w:val="left"/>
      </w:pPr>
      <w:r>
        <w:rPr>
          <w:sz w:val="18"/>
        </w:rPr>
        <w:t xml:space="preserve"> </w:t>
      </w:r>
    </w:p>
    <w:p w14:paraId="42292397" w14:textId="77777777" w:rsidR="00A8538E" w:rsidRDefault="00A6768D">
      <w:pPr>
        <w:numPr>
          <w:ilvl w:val="0"/>
          <w:numId w:val="5"/>
        </w:numPr>
        <w:ind w:right="0" w:hanging="259"/>
      </w:pPr>
      <w:r>
        <w:t xml:space="preserve">Le forfait de rémunération figurant au projet de décompte final ci-dessus ; </w:t>
      </w:r>
    </w:p>
    <w:p w14:paraId="3F47360A" w14:textId="77777777" w:rsidR="00A8538E" w:rsidRDefault="00A6768D">
      <w:pPr>
        <w:numPr>
          <w:ilvl w:val="0"/>
          <w:numId w:val="5"/>
        </w:numPr>
        <w:ind w:right="0" w:hanging="259"/>
      </w:pPr>
      <w:r>
        <w:t xml:space="preserve">La pénalité éventuelle pour dépassement du seuil de tolérance sur le coût qui résulte des contrats de travaux passés par le maître de l’ouvrage, telle que défini à l’article 6-6 du présent C.C.P. ; </w:t>
      </w:r>
    </w:p>
    <w:p w14:paraId="29F103D6" w14:textId="77777777" w:rsidR="00A8538E" w:rsidRDefault="00A6768D">
      <w:pPr>
        <w:numPr>
          <w:ilvl w:val="0"/>
          <w:numId w:val="5"/>
        </w:numPr>
        <w:ind w:right="0" w:hanging="259"/>
      </w:pPr>
      <w:r>
        <w:t xml:space="preserve">Les pénalités éventuelles susceptibles d’être appliquées au maître d’œuvre en application du présent marché ; </w:t>
      </w:r>
    </w:p>
    <w:p w14:paraId="1E2CF94B" w14:textId="77777777" w:rsidR="007C26A9" w:rsidRDefault="00A6768D">
      <w:pPr>
        <w:numPr>
          <w:ilvl w:val="0"/>
          <w:numId w:val="5"/>
        </w:numPr>
        <w:ind w:right="0" w:hanging="259"/>
      </w:pPr>
      <w:r>
        <w:t xml:space="preserve">La rémunération en prix de base, hors T.V.A. due au titre du marché pour l’exécution de l’ensemble de la mission ; cette rémunération étant égale au poste a) diminué des postes b) et c) ci-dessus. </w:t>
      </w:r>
    </w:p>
    <w:p w14:paraId="3E646FD6" w14:textId="77777777" w:rsidR="00A8538E" w:rsidRDefault="00A6768D" w:rsidP="007C26A9">
      <w:pPr>
        <w:ind w:left="259" w:right="0" w:firstLine="0"/>
      </w:pPr>
      <w:r>
        <w:t xml:space="preserve">Ce résultat constitue le montant du décompte final. </w:t>
      </w:r>
    </w:p>
    <w:p w14:paraId="2E234A6C" w14:textId="77777777" w:rsidR="00A8538E" w:rsidRDefault="00A6768D">
      <w:pPr>
        <w:spacing w:after="27" w:line="259" w:lineRule="auto"/>
        <w:ind w:left="0" w:right="0" w:firstLine="0"/>
        <w:jc w:val="left"/>
      </w:pPr>
      <w:r>
        <w:rPr>
          <w:sz w:val="18"/>
        </w:rPr>
        <w:t xml:space="preserve"> </w:t>
      </w:r>
    </w:p>
    <w:p w14:paraId="1AEAD75F" w14:textId="77777777" w:rsidR="00A8538E" w:rsidRDefault="00A6768D">
      <w:pPr>
        <w:ind w:left="-5" w:right="0"/>
      </w:pPr>
      <w:r>
        <w:t xml:space="preserve">Les maîtres d’ouvrage établissent le décompte général qui comprend : </w:t>
      </w:r>
    </w:p>
    <w:p w14:paraId="3E550B96" w14:textId="77777777" w:rsidR="00A8538E" w:rsidRDefault="00A6768D">
      <w:pPr>
        <w:spacing w:after="19" w:line="259" w:lineRule="auto"/>
        <w:ind w:left="0" w:right="0" w:firstLine="0"/>
        <w:jc w:val="left"/>
      </w:pPr>
      <w:r>
        <w:rPr>
          <w:sz w:val="18"/>
        </w:rPr>
        <w:t xml:space="preserve"> </w:t>
      </w:r>
    </w:p>
    <w:p w14:paraId="5FAA5C8C" w14:textId="77777777" w:rsidR="00A8538E" w:rsidRDefault="00A6768D">
      <w:pPr>
        <w:numPr>
          <w:ilvl w:val="0"/>
          <w:numId w:val="6"/>
        </w:numPr>
        <w:ind w:right="0" w:hanging="259"/>
      </w:pPr>
      <w:r>
        <w:t xml:space="preserve">Le décompte final ci-dessus ; </w:t>
      </w:r>
    </w:p>
    <w:p w14:paraId="25AD45A5" w14:textId="77777777" w:rsidR="00A8538E" w:rsidRDefault="00A6768D">
      <w:pPr>
        <w:numPr>
          <w:ilvl w:val="0"/>
          <w:numId w:val="6"/>
        </w:numPr>
        <w:ind w:right="0" w:hanging="259"/>
      </w:pPr>
      <w:r>
        <w:t xml:space="preserve">La récapitulation du montant des acomptes arrêtés par les maîtres d’ouvrage ; </w:t>
      </w:r>
    </w:p>
    <w:p w14:paraId="03559C2B" w14:textId="77777777" w:rsidR="00A8538E" w:rsidRDefault="00A6768D">
      <w:pPr>
        <w:numPr>
          <w:ilvl w:val="0"/>
          <w:numId w:val="6"/>
        </w:numPr>
        <w:spacing w:after="26"/>
        <w:ind w:right="0" w:hanging="259"/>
      </w:pPr>
      <w:r>
        <w:t xml:space="preserve">Le montant, en prix de base hors T.V.A., du solde ; ce montant étant la différence entre le décompte final et le décompte antérieur ; </w:t>
      </w:r>
    </w:p>
    <w:p w14:paraId="0654CD34" w14:textId="77777777" w:rsidR="00A8538E" w:rsidRDefault="00A6768D">
      <w:pPr>
        <w:numPr>
          <w:ilvl w:val="0"/>
          <w:numId w:val="6"/>
        </w:numPr>
        <w:ind w:right="0" w:hanging="259"/>
      </w:pPr>
      <w:r>
        <w:t xml:space="preserve">L’incidence de la révision des prix appliquée sur le montant du solde ci-dessus ; e) L’incidence de la T.V.A. ; </w:t>
      </w:r>
    </w:p>
    <w:p w14:paraId="7E51047A" w14:textId="77777777" w:rsidR="00A8538E" w:rsidRDefault="00A6768D">
      <w:pPr>
        <w:numPr>
          <w:ilvl w:val="0"/>
          <w:numId w:val="7"/>
        </w:numPr>
        <w:ind w:right="0" w:hanging="197"/>
      </w:pPr>
      <w:r>
        <w:t xml:space="preserve">L’état du solde à verser au titulaire ; ce montant étant la récapitulation des postes c), d) et e) ci-dessus ; </w:t>
      </w:r>
    </w:p>
    <w:p w14:paraId="0525AC31" w14:textId="77777777" w:rsidR="00A8538E" w:rsidRDefault="00A6768D">
      <w:pPr>
        <w:numPr>
          <w:ilvl w:val="0"/>
          <w:numId w:val="7"/>
        </w:numPr>
        <w:ind w:right="0" w:hanging="197"/>
      </w:pPr>
      <w:r>
        <w:t xml:space="preserve">La récapitulation des acomptes versés ainsi que du solde à verser ; cette récapitulation constitue le montant du décompte général. </w:t>
      </w:r>
    </w:p>
    <w:p w14:paraId="114B8E9F" w14:textId="77777777" w:rsidR="00A8538E" w:rsidRDefault="00A6768D">
      <w:pPr>
        <w:spacing w:after="48" w:line="259" w:lineRule="auto"/>
        <w:ind w:left="0" w:right="0" w:firstLine="0"/>
        <w:jc w:val="left"/>
      </w:pPr>
      <w:r>
        <w:rPr>
          <w:sz w:val="18"/>
        </w:rPr>
        <w:t xml:space="preserve"> </w:t>
      </w:r>
    </w:p>
    <w:p w14:paraId="1AAB33CB" w14:textId="77777777" w:rsidR="00A8538E" w:rsidRDefault="00A6768D">
      <w:pPr>
        <w:ind w:left="-5" w:right="0"/>
      </w:pPr>
      <w:r>
        <w:t xml:space="preserve">Les maîtres d’ouvrage notifient au maître d’œuvre le décompte général et l’état du solde. Le décompte général devient définitif dès l’acceptation par le maître d’œuvre. </w:t>
      </w:r>
    </w:p>
    <w:p w14:paraId="34EEB7E8" w14:textId="77777777" w:rsidR="00A8538E" w:rsidRDefault="00A6768D">
      <w:pPr>
        <w:spacing w:after="19" w:line="259" w:lineRule="auto"/>
        <w:ind w:left="0" w:right="0" w:firstLine="0"/>
        <w:jc w:val="left"/>
        <w:rPr>
          <w:sz w:val="18"/>
        </w:rPr>
      </w:pPr>
      <w:r>
        <w:rPr>
          <w:sz w:val="18"/>
        </w:rPr>
        <w:t xml:space="preserve"> </w:t>
      </w:r>
    </w:p>
    <w:p w14:paraId="45120BDC" w14:textId="77777777" w:rsidR="007C26A9" w:rsidRDefault="007C26A9">
      <w:pPr>
        <w:spacing w:after="19" w:line="259" w:lineRule="auto"/>
        <w:ind w:left="0" w:right="0" w:firstLine="0"/>
        <w:jc w:val="left"/>
        <w:rPr>
          <w:sz w:val="18"/>
        </w:rPr>
      </w:pPr>
    </w:p>
    <w:p w14:paraId="605DC2D3" w14:textId="77777777" w:rsidR="007C26A9" w:rsidRDefault="007C26A9">
      <w:pPr>
        <w:spacing w:after="19" w:line="259" w:lineRule="auto"/>
        <w:ind w:left="0" w:right="0" w:firstLine="0"/>
        <w:jc w:val="left"/>
      </w:pPr>
    </w:p>
    <w:p w14:paraId="0807F292" w14:textId="77777777" w:rsidR="00A8538E" w:rsidRDefault="00A6768D">
      <w:pPr>
        <w:ind w:left="-5" w:right="0"/>
      </w:pPr>
      <w:r>
        <w:lastRenderedPageBreak/>
        <w:t xml:space="preserve">En cas de cotraitance : </w:t>
      </w:r>
    </w:p>
    <w:p w14:paraId="33F17D51" w14:textId="77777777" w:rsidR="00A8538E" w:rsidRDefault="00A6768D">
      <w:pPr>
        <w:spacing w:after="21" w:line="259" w:lineRule="auto"/>
        <w:ind w:left="0" w:right="0" w:firstLine="0"/>
        <w:jc w:val="left"/>
      </w:pPr>
      <w:r>
        <w:rPr>
          <w:sz w:val="18"/>
        </w:rPr>
        <w:t xml:space="preserve"> </w:t>
      </w:r>
    </w:p>
    <w:p w14:paraId="526161B2" w14:textId="77777777" w:rsidR="00A8538E" w:rsidRDefault="00A6768D">
      <w:pPr>
        <w:numPr>
          <w:ilvl w:val="0"/>
          <w:numId w:val="8"/>
        </w:numPr>
        <w:ind w:right="0"/>
      </w:pPr>
      <w:r>
        <w:t xml:space="preserve">En cas de groupement conjoint, chaque membre du groupement perçoit directement les sommes se rapportant à l’exécution de ses propres prestations ; </w:t>
      </w:r>
    </w:p>
    <w:p w14:paraId="7CEDB843" w14:textId="77777777" w:rsidR="00A8538E" w:rsidRDefault="00A6768D">
      <w:pPr>
        <w:numPr>
          <w:ilvl w:val="0"/>
          <w:numId w:val="8"/>
        </w:numPr>
        <w:ind w:right="0"/>
      </w:pPr>
      <w:r>
        <w:t xml:space="preserve">En cas de groupement solidaire, le paiement est effectué sur un compte unique, ouvert au nom des membres du groupement ou du mandataire sauf stipulation contraire prévue à l’acte d’engagement. Les autres dispositions relatives à la cotraitance s’appliquent selon l’article 12.1 du C.C.A.G.-P.I. </w:t>
      </w:r>
    </w:p>
    <w:p w14:paraId="46C2D0EF" w14:textId="77777777" w:rsidR="00A8538E" w:rsidRDefault="00A6768D">
      <w:pPr>
        <w:spacing w:after="47" w:line="259" w:lineRule="auto"/>
        <w:ind w:left="0" w:right="0" w:firstLine="0"/>
        <w:jc w:val="left"/>
      </w:pPr>
      <w:r>
        <w:rPr>
          <w:sz w:val="18"/>
        </w:rPr>
        <w:t xml:space="preserve"> </w:t>
      </w:r>
    </w:p>
    <w:p w14:paraId="3AD63E8F" w14:textId="77777777" w:rsidR="00A8538E" w:rsidRDefault="00A6768D">
      <w:pPr>
        <w:ind w:left="-5" w:right="0"/>
      </w:pPr>
      <w:r>
        <w:t xml:space="preserve">En cas de sous-traitance : Le maître d’œuvre peut sous-traiter l’exécution de certaines parties de son marché, sous réserve de l’acceptation du ou des sous-traitants et de l’agrément de leurs conditions de paiement par les maîtres d’ouvrage. </w:t>
      </w:r>
    </w:p>
    <w:p w14:paraId="482AD6B4" w14:textId="3C08C1D4" w:rsidR="00A8538E" w:rsidRDefault="00A6768D">
      <w:pPr>
        <w:ind w:left="-5" w:right="0"/>
      </w:pPr>
      <w:r>
        <w:t xml:space="preserve">En cas de désignation de sous-traitants en cours de marché, l’acceptation du ou des sous-traitants ainsi que l’agrément de leurs conditions de paiement par les maîtres d’ouvrage se feront dans les conditions décrites à </w:t>
      </w:r>
      <w:r w:rsidR="000D7C3E" w:rsidRPr="006B3CF1">
        <w:t>l’article 134 du Décret nº2016-360</w:t>
      </w:r>
      <w:r w:rsidR="000D7C3E">
        <w:t xml:space="preserve"> </w:t>
      </w:r>
      <w:r w:rsidR="000D7C3E" w:rsidRPr="006B3CF1">
        <w:t>du 25 mars 2016</w:t>
      </w:r>
      <w:r w:rsidR="000D7C3E">
        <w:t xml:space="preserve">. </w:t>
      </w:r>
    </w:p>
    <w:p w14:paraId="3700A454" w14:textId="2EACFAD7" w:rsidR="00930E25" w:rsidRDefault="00930E25">
      <w:pPr>
        <w:ind w:left="-5" w:right="0"/>
      </w:pPr>
    </w:p>
    <w:p w14:paraId="3D1FD928" w14:textId="77777777" w:rsidR="00930E25" w:rsidRDefault="00930E25">
      <w:pPr>
        <w:ind w:left="-5" w:right="0"/>
      </w:pPr>
    </w:p>
    <w:p w14:paraId="2E7BA0AB" w14:textId="77777777" w:rsidR="00A8538E" w:rsidRDefault="00A6768D">
      <w:pPr>
        <w:spacing w:after="0" w:line="259" w:lineRule="auto"/>
        <w:ind w:left="0" w:right="0" w:firstLine="0"/>
        <w:jc w:val="left"/>
      </w:pPr>
      <w:r>
        <w:t xml:space="preserve"> </w:t>
      </w:r>
    </w:p>
    <w:p w14:paraId="57CF7B77" w14:textId="77777777" w:rsidR="00A8538E" w:rsidRDefault="00A6768D">
      <w:pPr>
        <w:spacing w:after="54" w:line="259" w:lineRule="auto"/>
        <w:ind w:left="0" w:right="0" w:firstLine="0"/>
        <w:jc w:val="left"/>
      </w:pPr>
      <w:r>
        <w:t xml:space="preserve"> </w:t>
      </w:r>
    </w:p>
    <w:p w14:paraId="4DC058AD" w14:textId="77777777" w:rsidR="00A8538E" w:rsidRDefault="00A6768D">
      <w:pPr>
        <w:pStyle w:val="Titre1"/>
        <w:ind w:left="-5"/>
      </w:pPr>
      <w:bookmarkStart w:id="24" w:name="_Toc513628507"/>
      <w:r>
        <w:t>Article 4 : Délais d’exécution et pénalités de retard</w:t>
      </w:r>
      <w:bookmarkEnd w:id="24"/>
      <w:r>
        <w:t xml:space="preserve"> </w:t>
      </w:r>
    </w:p>
    <w:p w14:paraId="6716B385" w14:textId="77777777" w:rsidR="00A8538E" w:rsidRDefault="00A6768D">
      <w:pPr>
        <w:spacing w:after="19" w:line="259" w:lineRule="auto"/>
        <w:ind w:left="0" w:right="0" w:firstLine="0"/>
        <w:jc w:val="left"/>
      </w:pPr>
      <w:r>
        <w:rPr>
          <w:sz w:val="20"/>
        </w:rPr>
        <w:t xml:space="preserve"> </w:t>
      </w:r>
    </w:p>
    <w:p w14:paraId="6CF1EAE0" w14:textId="77777777" w:rsidR="00A8538E" w:rsidRDefault="00A6768D">
      <w:pPr>
        <w:pStyle w:val="Titre2"/>
        <w:ind w:left="-5"/>
      </w:pPr>
      <w:bookmarkStart w:id="25" w:name="_Toc513628508"/>
      <w:r>
        <w:t>Article 4-1 Délais -Pénalités missions « Études »</w:t>
      </w:r>
      <w:bookmarkEnd w:id="25"/>
      <w:r>
        <w:rPr>
          <w:u w:val="none"/>
        </w:rPr>
        <w:t xml:space="preserve"> </w:t>
      </w:r>
    </w:p>
    <w:p w14:paraId="17CC935B" w14:textId="77777777" w:rsidR="00A8538E" w:rsidRDefault="00A6768D">
      <w:pPr>
        <w:spacing w:after="37" w:line="259" w:lineRule="auto"/>
        <w:ind w:left="708" w:right="0" w:firstLine="0"/>
        <w:jc w:val="left"/>
      </w:pPr>
      <w:r>
        <w:rPr>
          <w:sz w:val="20"/>
        </w:rPr>
        <w:t xml:space="preserve"> </w:t>
      </w:r>
    </w:p>
    <w:p w14:paraId="1E3DC6D4" w14:textId="77777777" w:rsidR="00A8538E" w:rsidRDefault="00A6768D">
      <w:pPr>
        <w:ind w:left="-5" w:right="0"/>
      </w:pPr>
      <w:r>
        <w:t xml:space="preserve">Les délais d’établissements des documents d’études et du dossier des ouvrages exécutés (DOE) ainsi que leur point de départ sont fixés à l’acte d’engagement.  </w:t>
      </w:r>
    </w:p>
    <w:p w14:paraId="43017268" w14:textId="77777777" w:rsidR="00A8538E" w:rsidRDefault="00A6768D">
      <w:pPr>
        <w:spacing w:after="0" w:line="259" w:lineRule="auto"/>
        <w:ind w:left="708" w:right="0" w:firstLine="0"/>
        <w:jc w:val="left"/>
      </w:pPr>
      <w:r>
        <w:t xml:space="preserve"> </w:t>
      </w:r>
    </w:p>
    <w:p w14:paraId="298ECCE2" w14:textId="77777777" w:rsidR="00A8538E" w:rsidRDefault="00A6768D">
      <w:pPr>
        <w:ind w:left="-5" w:right="0"/>
      </w:pPr>
      <w:r>
        <w:t xml:space="preserve">Par dérogation à l’article 14.1 du CCAG-PI, en cas de retard dans la présentation de ces documents d’étude (PRO), des documents de consultation (DCE) et du dossier des ouvrages exécutés (DOE), le maître d’œuvre subit sur ses créances, des pénalités dont le montant par jour calendaire de retard est fixé par rapport au montant du marché à :  </w:t>
      </w:r>
    </w:p>
    <w:p w14:paraId="6656D06B" w14:textId="77777777" w:rsidR="00A8538E" w:rsidRDefault="00A6768D">
      <w:pPr>
        <w:spacing w:after="6" w:line="259" w:lineRule="auto"/>
        <w:ind w:left="708" w:right="0" w:firstLine="0"/>
        <w:jc w:val="left"/>
      </w:pPr>
      <w:r>
        <w:t xml:space="preserve"> </w:t>
      </w:r>
    </w:p>
    <w:p w14:paraId="2B867C4D" w14:textId="77777777" w:rsidR="00A8538E" w:rsidRDefault="00A6768D">
      <w:pPr>
        <w:ind w:left="718" w:right="0"/>
      </w:pPr>
      <w:r>
        <w:t>PRO</w:t>
      </w:r>
      <w:proofErr w:type="gramStart"/>
      <w:r>
        <w:t xml:space="preserve">   :</w:t>
      </w:r>
      <w:proofErr w:type="gramEnd"/>
      <w:r>
        <w:t xml:space="preserve">    250 € par jour de retard  </w:t>
      </w:r>
    </w:p>
    <w:p w14:paraId="615B713C" w14:textId="77777777" w:rsidR="00A8538E" w:rsidRDefault="00A6768D">
      <w:pPr>
        <w:ind w:left="718" w:right="0"/>
      </w:pPr>
      <w:r>
        <w:t xml:space="preserve">DCE </w:t>
      </w:r>
      <w:proofErr w:type="gramStart"/>
      <w:r>
        <w:t xml:space="preserve">   :</w:t>
      </w:r>
      <w:proofErr w:type="gramEnd"/>
      <w:r>
        <w:t xml:space="preserve">    250 € par jour de retard  </w:t>
      </w:r>
    </w:p>
    <w:p w14:paraId="0C13EDC8" w14:textId="77777777" w:rsidR="00A8538E" w:rsidRDefault="00A6768D">
      <w:pPr>
        <w:ind w:left="718" w:right="0"/>
      </w:pPr>
      <w:r>
        <w:lastRenderedPageBreak/>
        <w:t>DOE</w:t>
      </w:r>
      <w:proofErr w:type="gramStart"/>
      <w:r>
        <w:t xml:space="preserve">   :</w:t>
      </w:r>
      <w:proofErr w:type="gramEnd"/>
      <w:r>
        <w:t xml:space="preserve">    100 € par jour de retard  </w:t>
      </w:r>
    </w:p>
    <w:p w14:paraId="7395C31B" w14:textId="77777777" w:rsidR="00A8538E" w:rsidRDefault="00A6768D">
      <w:pPr>
        <w:spacing w:after="19" w:line="259" w:lineRule="auto"/>
        <w:ind w:left="708" w:right="0" w:firstLine="0"/>
        <w:jc w:val="left"/>
      </w:pPr>
      <w:r>
        <w:t xml:space="preserve"> </w:t>
      </w:r>
    </w:p>
    <w:p w14:paraId="536ADE84" w14:textId="77777777" w:rsidR="00A8538E" w:rsidRDefault="00A6768D">
      <w:pPr>
        <w:ind w:left="-5" w:right="0"/>
      </w:pPr>
      <w:r>
        <w:t xml:space="preserve">Par dérogation à l’article 14.3 du CCAG-PI, le prestataire n’est exonéré d’aucune pénalité.  </w:t>
      </w:r>
    </w:p>
    <w:p w14:paraId="45E74399" w14:textId="77777777" w:rsidR="000D7C3E" w:rsidRDefault="000D7C3E">
      <w:pPr>
        <w:ind w:left="-5" w:right="0"/>
      </w:pPr>
    </w:p>
    <w:p w14:paraId="54190FA9" w14:textId="77777777" w:rsidR="000D7C3E" w:rsidRPr="005851FE" w:rsidRDefault="000D7C3E" w:rsidP="000D7C3E">
      <w:pPr>
        <w:autoSpaceDE w:val="0"/>
        <w:autoSpaceDN w:val="0"/>
        <w:adjustRightInd w:val="0"/>
        <w:rPr>
          <w:b/>
          <w:bCs/>
          <w:color w:val="auto"/>
        </w:rPr>
      </w:pPr>
      <w:r w:rsidRPr="005851FE">
        <w:rPr>
          <w:b/>
          <w:bCs/>
          <w:color w:val="auto"/>
        </w:rPr>
        <w:t>Phase consultation des entreprises :</w:t>
      </w:r>
    </w:p>
    <w:p w14:paraId="607AA062" w14:textId="77777777" w:rsidR="000D7C3E" w:rsidRPr="005851FE" w:rsidRDefault="000D7C3E" w:rsidP="000D7C3E">
      <w:pPr>
        <w:autoSpaceDE w:val="0"/>
        <w:autoSpaceDN w:val="0"/>
        <w:adjustRightInd w:val="0"/>
        <w:rPr>
          <w:b/>
          <w:bCs/>
          <w:color w:val="auto"/>
        </w:rPr>
      </w:pPr>
    </w:p>
    <w:p w14:paraId="5B67AF35" w14:textId="77777777" w:rsidR="000D7C3E" w:rsidRPr="005851FE" w:rsidRDefault="000D7C3E" w:rsidP="000D7C3E">
      <w:pPr>
        <w:autoSpaceDE w:val="0"/>
        <w:autoSpaceDN w:val="0"/>
        <w:adjustRightInd w:val="0"/>
        <w:rPr>
          <w:color w:val="auto"/>
        </w:rPr>
      </w:pPr>
      <w:r w:rsidRPr="005851FE">
        <w:rPr>
          <w:color w:val="auto"/>
        </w:rPr>
        <w:t xml:space="preserve">Le maître d’œuvre établit, à partir des pièces qui lui sont remises et sans prendre contact avec les entrepreneurs, un rapport d’analyse argumenté conforme aux critères préalablement énoncés dans le règlement de consultation. Il précise </w:t>
      </w:r>
      <w:r w:rsidRPr="005851FE">
        <w:rPr>
          <w:b/>
          <w:bCs/>
          <w:color w:val="auto"/>
        </w:rPr>
        <w:t xml:space="preserve">de manière argumentée </w:t>
      </w:r>
      <w:r w:rsidRPr="005851FE">
        <w:rPr>
          <w:color w:val="auto"/>
        </w:rPr>
        <w:t>pour chacune des offres et pour chaque</w:t>
      </w:r>
    </w:p>
    <w:p w14:paraId="33B97BC4" w14:textId="77777777" w:rsidR="000D7C3E" w:rsidRPr="005851FE" w:rsidRDefault="000D7C3E" w:rsidP="000D7C3E">
      <w:pPr>
        <w:autoSpaceDE w:val="0"/>
        <w:autoSpaceDN w:val="0"/>
        <w:adjustRightInd w:val="0"/>
        <w:rPr>
          <w:color w:val="auto"/>
        </w:rPr>
      </w:pPr>
      <w:proofErr w:type="gramStart"/>
      <w:r w:rsidRPr="005851FE">
        <w:rPr>
          <w:color w:val="auto"/>
        </w:rPr>
        <w:t>critère</w:t>
      </w:r>
      <w:proofErr w:type="gramEnd"/>
      <w:r w:rsidRPr="005851FE">
        <w:rPr>
          <w:color w:val="auto"/>
        </w:rPr>
        <w:t xml:space="preserve"> les notes attribuées, et, le cas échéant :</w:t>
      </w:r>
    </w:p>
    <w:p w14:paraId="6DCDDD2D" w14:textId="77777777" w:rsidR="000D7C3E" w:rsidRPr="005851FE" w:rsidRDefault="000D7C3E" w:rsidP="000D7C3E">
      <w:pPr>
        <w:autoSpaceDE w:val="0"/>
        <w:autoSpaceDN w:val="0"/>
        <w:adjustRightInd w:val="0"/>
        <w:rPr>
          <w:color w:val="auto"/>
        </w:rPr>
      </w:pPr>
      <w:r w:rsidRPr="005851FE">
        <w:rPr>
          <w:color w:val="auto"/>
        </w:rPr>
        <w:t>- les points sur lesquels elle ne serait pas conforme au projet,</w:t>
      </w:r>
    </w:p>
    <w:p w14:paraId="0DAAF26C" w14:textId="77777777" w:rsidR="000D7C3E" w:rsidRPr="005851FE" w:rsidRDefault="000D7C3E" w:rsidP="000D7C3E">
      <w:pPr>
        <w:autoSpaceDE w:val="0"/>
        <w:autoSpaceDN w:val="0"/>
        <w:adjustRightInd w:val="0"/>
        <w:rPr>
          <w:color w:val="auto"/>
        </w:rPr>
      </w:pPr>
      <w:r w:rsidRPr="005851FE">
        <w:rPr>
          <w:color w:val="auto"/>
        </w:rPr>
        <w:t>- les réserves éventuelles qu'elle contient,</w:t>
      </w:r>
    </w:p>
    <w:p w14:paraId="7222E270" w14:textId="77777777" w:rsidR="000D7C3E" w:rsidRPr="005851FE" w:rsidRDefault="000D7C3E" w:rsidP="000D7C3E">
      <w:pPr>
        <w:autoSpaceDE w:val="0"/>
        <w:autoSpaceDN w:val="0"/>
        <w:adjustRightInd w:val="0"/>
        <w:rPr>
          <w:color w:val="auto"/>
        </w:rPr>
      </w:pPr>
      <w:r w:rsidRPr="005851FE">
        <w:rPr>
          <w:color w:val="auto"/>
        </w:rPr>
        <w:t>- les imprécisions, erreurs ou omissions relevées dans la décomposition des prix forfaitaires.</w:t>
      </w:r>
    </w:p>
    <w:p w14:paraId="3F55CE49" w14:textId="77777777" w:rsidR="000D7C3E" w:rsidRPr="005851FE" w:rsidRDefault="000D7C3E" w:rsidP="000D7C3E">
      <w:pPr>
        <w:autoSpaceDE w:val="0"/>
        <w:autoSpaceDN w:val="0"/>
        <w:adjustRightInd w:val="0"/>
        <w:rPr>
          <w:color w:val="auto"/>
        </w:rPr>
      </w:pPr>
    </w:p>
    <w:p w14:paraId="59D79A10" w14:textId="77777777" w:rsidR="000D7C3E" w:rsidRPr="005851FE" w:rsidRDefault="000D7C3E" w:rsidP="000D7C3E">
      <w:pPr>
        <w:autoSpaceDE w:val="0"/>
        <w:autoSpaceDN w:val="0"/>
        <w:adjustRightInd w:val="0"/>
        <w:rPr>
          <w:color w:val="auto"/>
        </w:rPr>
      </w:pPr>
      <w:r w:rsidRPr="005851FE">
        <w:rPr>
          <w:color w:val="auto"/>
        </w:rPr>
        <w:t xml:space="preserve">Ce rapport doit être remis dans un délai de </w:t>
      </w:r>
      <w:r w:rsidRPr="005851FE">
        <w:rPr>
          <w:b/>
          <w:color w:val="auto"/>
        </w:rPr>
        <w:t>2 semaines</w:t>
      </w:r>
      <w:r w:rsidRPr="005851FE">
        <w:rPr>
          <w:color w:val="auto"/>
        </w:rPr>
        <w:t xml:space="preserve"> au coordonnateur du groupement de commandes.</w:t>
      </w:r>
    </w:p>
    <w:p w14:paraId="3F3E45F5" w14:textId="77777777" w:rsidR="000D7C3E" w:rsidRPr="005851FE" w:rsidRDefault="000D7C3E" w:rsidP="000D7C3E">
      <w:pPr>
        <w:autoSpaceDE w:val="0"/>
        <w:autoSpaceDN w:val="0"/>
        <w:adjustRightInd w:val="0"/>
        <w:rPr>
          <w:color w:val="auto"/>
        </w:rPr>
      </w:pPr>
    </w:p>
    <w:p w14:paraId="530EA24B" w14:textId="77777777" w:rsidR="000D7C3E" w:rsidRPr="005851FE" w:rsidRDefault="000D7C3E" w:rsidP="000D7C3E">
      <w:pPr>
        <w:autoSpaceDE w:val="0"/>
        <w:autoSpaceDN w:val="0"/>
        <w:adjustRightInd w:val="0"/>
        <w:rPr>
          <w:color w:val="auto"/>
        </w:rPr>
      </w:pPr>
      <w:r w:rsidRPr="005851FE">
        <w:rPr>
          <w:color w:val="auto"/>
        </w:rPr>
        <w:t>Si ce délai n’est pas respecté, le maître d’œuvre encourt, sur ses créances, une pénalité de 250€ HT par jour de retard.</w:t>
      </w:r>
    </w:p>
    <w:p w14:paraId="7374EC5D" w14:textId="77777777" w:rsidR="000D7C3E" w:rsidRPr="005851FE" w:rsidRDefault="000D7C3E" w:rsidP="000D7C3E">
      <w:pPr>
        <w:autoSpaceDE w:val="0"/>
        <w:autoSpaceDN w:val="0"/>
        <w:adjustRightInd w:val="0"/>
        <w:rPr>
          <w:color w:val="auto"/>
        </w:rPr>
      </w:pPr>
    </w:p>
    <w:p w14:paraId="679C92CF" w14:textId="77777777" w:rsidR="000D7C3E" w:rsidRPr="005851FE" w:rsidRDefault="000D7C3E" w:rsidP="000D7C3E">
      <w:pPr>
        <w:autoSpaceDE w:val="0"/>
        <w:autoSpaceDN w:val="0"/>
        <w:adjustRightInd w:val="0"/>
        <w:rPr>
          <w:color w:val="auto"/>
        </w:rPr>
      </w:pPr>
      <w:r w:rsidRPr="005851FE">
        <w:rPr>
          <w:color w:val="auto"/>
        </w:rPr>
        <w:t>Le maître d’œuvre devra être présent à l’instance assimilée pour présenter son rapport d’analyse.</w:t>
      </w:r>
    </w:p>
    <w:p w14:paraId="7CB9061B" w14:textId="77777777" w:rsidR="000D7C3E" w:rsidRPr="005851FE" w:rsidRDefault="000D7C3E" w:rsidP="000D7C3E">
      <w:pPr>
        <w:autoSpaceDE w:val="0"/>
        <w:autoSpaceDN w:val="0"/>
        <w:adjustRightInd w:val="0"/>
        <w:rPr>
          <w:color w:val="auto"/>
        </w:rPr>
      </w:pPr>
      <w:r w:rsidRPr="005851FE">
        <w:rPr>
          <w:color w:val="auto"/>
        </w:rPr>
        <w:t xml:space="preserve">En cas de négociation, le maître d’œuvre s’engage à transmettre au coordonnateur du groupement de commandes par écrit les questions qui devront être posées à chaque candidat. </w:t>
      </w:r>
    </w:p>
    <w:p w14:paraId="612C4420" w14:textId="77777777" w:rsidR="000D7C3E" w:rsidRPr="005851FE" w:rsidRDefault="000D7C3E" w:rsidP="000D7C3E">
      <w:pPr>
        <w:autoSpaceDE w:val="0"/>
        <w:autoSpaceDN w:val="0"/>
        <w:adjustRightInd w:val="0"/>
        <w:rPr>
          <w:color w:val="auto"/>
        </w:rPr>
      </w:pPr>
      <w:r w:rsidRPr="005851FE">
        <w:rPr>
          <w:color w:val="auto"/>
        </w:rPr>
        <w:t>Le compte rendu des négociations devra figurer au rapport d’analyse des offres.</w:t>
      </w:r>
    </w:p>
    <w:p w14:paraId="7A3E6573" w14:textId="77777777" w:rsidR="000D7C3E" w:rsidRPr="005851FE" w:rsidRDefault="000D7C3E" w:rsidP="000D7C3E">
      <w:pPr>
        <w:autoSpaceDE w:val="0"/>
        <w:autoSpaceDN w:val="0"/>
        <w:adjustRightInd w:val="0"/>
        <w:rPr>
          <w:color w:val="auto"/>
        </w:rPr>
      </w:pPr>
    </w:p>
    <w:p w14:paraId="46C6E736" w14:textId="77777777" w:rsidR="000D7C3E" w:rsidRPr="005851FE" w:rsidRDefault="000D7C3E" w:rsidP="000D7C3E">
      <w:pPr>
        <w:autoSpaceDE w:val="0"/>
        <w:autoSpaceDN w:val="0"/>
        <w:adjustRightInd w:val="0"/>
        <w:rPr>
          <w:color w:val="auto"/>
        </w:rPr>
      </w:pPr>
      <w:r w:rsidRPr="005851FE">
        <w:rPr>
          <w:color w:val="auto"/>
        </w:rPr>
        <w:t>Il est précisé que le rapport d’analyse du maître d’œuvre servira de pièces justificatives au maître d’ouvrage pour répondre aux demandes d’explications et de contestations éventuelles des entreprises.</w:t>
      </w:r>
    </w:p>
    <w:p w14:paraId="57A0D4F6" w14:textId="77777777" w:rsidR="000D7C3E" w:rsidRPr="005851FE" w:rsidRDefault="000D7C3E" w:rsidP="000D7C3E">
      <w:pPr>
        <w:autoSpaceDE w:val="0"/>
        <w:autoSpaceDN w:val="0"/>
        <w:adjustRightInd w:val="0"/>
        <w:rPr>
          <w:color w:val="auto"/>
        </w:rPr>
      </w:pPr>
      <w:r w:rsidRPr="005851FE">
        <w:rPr>
          <w:color w:val="auto"/>
        </w:rPr>
        <w:t>En cas de besoin, le maître d’œuvre devra apporter tout élément complémentaire à la demande du maître d’ouvrage.</w:t>
      </w:r>
    </w:p>
    <w:p w14:paraId="5016D31C" w14:textId="77777777" w:rsidR="000D7C3E" w:rsidRPr="000D7C3E" w:rsidRDefault="000D7C3E">
      <w:pPr>
        <w:ind w:left="-5" w:right="0"/>
        <w:rPr>
          <w:color w:val="FF0000"/>
        </w:rPr>
      </w:pPr>
    </w:p>
    <w:p w14:paraId="16ADA8AC" w14:textId="77777777" w:rsidR="000D7C3E" w:rsidRDefault="000D7C3E">
      <w:pPr>
        <w:ind w:left="-5" w:right="0"/>
      </w:pPr>
    </w:p>
    <w:p w14:paraId="1F2C9D9C" w14:textId="77777777" w:rsidR="000D7C3E" w:rsidRDefault="000D7C3E">
      <w:pPr>
        <w:ind w:left="-5" w:right="0"/>
      </w:pPr>
    </w:p>
    <w:p w14:paraId="0DA73C52" w14:textId="77777777" w:rsidR="00A8538E" w:rsidRDefault="00A6768D">
      <w:pPr>
        <w:ind w:left="-5" w:right="0"/>
      </w:pPr>
      <w:r>
        <w:t xml:space="preserve">Les documents d’étude et le dossier des ouvrages exécutés (DOE) doivent faire l’objet d’une présentation par le maître d’œuvre aux maîtres d’ouvrage pour vérification 5 jours avant l’échéance, puis il prendra en </w:t>
      </w:r>
      <w:r>
        <w:lastRenderedPageBreak/>
        <w:t xml:space="preserve">compte les remarques des maitres d’ouvrage avant délivrance définitive. Le tableau ci-après précise le nombre d’exemplaires à fournir. Les maîtres d’ouvrage se réservent tout droit de reproduction des documents ci-dessous dans le cadre de l’opération envisagée. </w:t>
      </w:r>
    </w:p>
    <w:p w14:paraId="63C1D6AD" w14:textId="77777777" w:rsidR="00A8538E" w:rsidRDefault="00A6768D">
      <w:pPr>
        <w:spacing w:after="0" w:line="259" w:lineRule="auto"/>
        <w:ind w:left="708" w:right="0" w:firstLine="0"/>
        <w:jc w:val="left"/>
      </w:pPr>
      <w:r>
        <w:t xml:space="preserve"> </w:t>
      </w:r>
    </w:p>
    <w:p w14:paraId="1E55903A" w14:textId="77777777" w:rsidR="00A8538E" w:rsidRDefault="00A6768D">
      <w:pPr>
        <w:ind w:left="-5" w:right="0"/>
      </w:pPr>
      <w:r>
        <w:t xml:space="preserve">PRO : 3 ex. papier + 3 ex sous support informatique  </w:t>
      </w:r>
    </w:p>
    <w:p w14:paraId="538AD1B1" w14:textId="77777777" w:rsidR="00A8538E" w:rsidRDefault="00A6768D">
      <w:pPr>
        <w:ind w:left="718" w:right="0"/>
      </w:pPr>
      <w:r>
        <w:t xml:space="preserve">(Formats DWG et PDF pour les plans et fichiers Word et PDF pour les pièces écrites)  </w:t>
      </w:r>
    </w:p>
    <w:p w14:paraId="0F9B5E3A" w14:textId="77777777" w:rsidR="00A8538E" w:rsidRDefault="00A6768D">
      <w:pPr>
        <w:ind w:left="-5" w:right="0"/>
      </w:pPr>
      <w:r>
        <w:t xml:space="preserve">DCE : 3 ex. papier + 3 ex sous support informatique  </w:t>
      </w:r>
    </w:p>
    <w:p w14:paraId="567A9243" w14:textId="77777777" w:rsidR="00A8538E" w:rsidRDefault="00A6768D">
      <w:pPr>
        <w:ind w:left="718" w:right="0"/>
      </w:pPr>
      <w:r>
        <w:t xml:space="preserve">(Formats DWG et PDF pour les plans et fichiers Word et PDF pour les pièces écrites)  </w:t>
      </w:r>
    </w:p>
    <w:p w14:paraId="374A0136" w14:textId="77777777" w:rsidR="00A8538E" w:rsidRDefault="00A6768D">
      <w:pPr>
        <w:ind w:left="-5" w:right="0"/>
      </w:pPr>
      <w:r>
        <w:t xml:space="preserve">DOE : 3 ex. papier + 3 ex sous support informatique  </w:t>
      </w:r>
    </w:p>
    <w:p w14:paraId="2D1D4B89" w14:textId="77777777" w:rsidR="00A8538E" w:rsidRDefault="00A6768D">
      <w:pPr>
        <w:ind w:left="718" w:right="0"/>
      </w:pPr>
      <w:r>
        <w:t xml:space="preserve">(Formats DWG et PDF pour les plans et fichiers Word et PDF pour les pièces écrites) </w:t>
      </w:r>
    </w:p>
    <w:p w14:paraId="57E79538" w14:textId="77777777" w:rsidR="00A8538E" w:rsidRDefault="00A6768D">
      <w:pPr>
        <w:spacing w:after="10" w:line="259" w:lineRule="auto"/>
        <w:ind w:left="708" w:right="0" w:firstLine="0"/>
        <w:jc w:val="left"/>
      </w:pPr>
      <w:r>
        <w:t xml:space="preserve"> </w:t>
      </w:r>
    </w:p>
    <w:p w14:paraId="6A546600" w14:textId="77777777" w:rsidR="00A8538E" w:rsidRDefault="00A6768D">
      <w:pPr>
        <w:ind w:left="-5" w:right="0"/>
      </w:pPr>
      <w:r>
        <w:t xml:space="preserve">Par dérogation à l’article 26 du C.C.A.G.-P.I., le maître d’œuvre est dispensé d’aviser par écrit les maîtres d’ouvrage de la date à laquelle ces documents lui seront présentés.  </w:t>
      </w:r>
    </w:p>
    <w:p w14:paraId="42D9F3FA" w14:textId="77777777" w:rsidR="00A8538E" w:rsidRDefault="00A6768D">
      <w:pPr>
        <w:ind w:left="-5" w:right="0"/>
      </w:pPr>
      <w:r>
        <w:t xml:space="preserve">Par dérogation aux articles 26.2 et 26.5 et en application de l’article 27 du C.C.A.G.-PI, la décision par les maîtres d’ouvrage de réception, d’ajournement, de réception avec réfaction ou de rejet des documents d’études et du dossier des ouvrages exécutés doit intervenir avant l’expiration des délais ci-dessous exprimés en nombre de semaines calendaires :  </w:t>
      </w:r>
    </w:p>
    <w:p w14:paraId="3E719FD4" w14:textId="77777777" w:rsidR="00A8538E" w:rsidRDefault="00A6768D">
      <w:pPr>
        <w:spacing w:after="0" w:line="259" w:lineRule="auto"/>
        <w:ind w:left="708" w:right="0" w:firstLine="0"/>
        <w:jc w:val="left"/>
      </w:pPr>
      <w:r>
        <w:t xml:space="preserve"> </w:t>
      </w:r>
    </w:p>
    <w:p w14:paraId="280D51F9" w14:textId="77777777" w:rsidR="00A8538E" w:rsidRDefault="00A6768D">
      <w:pPr>
        <w:ind w:left="718" w:right="0"/>
      </w:pPr>
      <w:r>
        <w:t xml:space="preserve">PRO (Études Projet) : 2 semaines  </w:t>
      </w:r>
    </w:p>
    <w:p w14:paraId="220E7BA6" w14:textId="77777777" w:rsidR="00A8538E" w:rsidRDefault="00A6768D">
      <w:pPr>
        <w:ind w:left="718" w:right="0"/>
      </w:pPr>
      <w:r>
        <w:t xml:space="preserve">DOE (dossier d’ouvrages exécutés) : 2 semaines  </w:t>
      </w:r>
    </w:p>
    <w:p w14:paraId="20AA6001" w14:textId="77777777" w:rsidR="00A8538E" w:rsidRDefault="00A6768D">
      <w:pPr>
        <w:spacing w:after="9" w:line="259" w:lineRule="auto"/>
        <w:ind w:left="708" w:right="0" w:firstLine="0"/>
        <w:jc w:val="left"/>
      </w:pPr>
      <w:r>
        <w:t xml:space="preserve"> </w:t>
      </w:r>
    </w:p>
    <w:p w14:paraId="4331D1E4" w14:textId="77777777" w:rsidR="00A8538E" w:rsidRDefault="00A6768D">
      <w:pPr>
        <w:ind w:left="-5" w:right="0"/>
      </w:pPr>
      <w:r>
        <w:t xml:space="preserve">Ces délais courent à compter de la date de l’accusé de réception par les maîtres d’ouvrage du document à réceptionner. </w:t>
      </w:r>
    </w:p>
    <w:p w14:paraId="694DF543" w14:textId="77777777" w:rsidR="00A8538E" w:rsidRDefault="00A6768D">
      <w:pPr>
        <w:spacing w:after="0" w:line="259" w:lineRule="auto"/>
        <w:ind w:left="0" w:right="0" w:firstLine="0"/>
        <w:jc w:val="left"/>
      </w:pPr>
      <w:r>
        <w:t xml:space="preserve"> </w:t>
      </w:r>
    </w:p>
    <w:p w14:paraId="6EC6F895" w14:textId="77777777" w:rsidR="00A8538E" w:rsidRDefault="00A6768D">
      <w:pPr>
        <w:ind w:left="-5" w:right="0"/>
      </w:pPr>
      <w:r>
        <w:t xml:space="preserve">Si cette décision n’est pas notifiée au titulaire dans le délai ci-dessus, la prestation est considérée comme reçue, avec effet à compter de l’expiration du délai, conformément à l’article 27 deuxième alinéa du C.C.A.G.-P.I. (Acceptation tacite). </w:t>
      </w:r>
    </w:p>
    <w:p w14:paraId="623B65E3" w14:textId="77777777" w:rsidR="00A8538E" w:rsidRDefault="00A6768D">
      <w:pPr>
        <w:spacing w:after="0" w:line="259" w:lineRule="auto"/>
        <w:ind w:left="0" w:right="0" w:firstLine="0"/>
        <w:jc w:val="left"/>
      </w:pPr>
      <w:r>
        <w:t xml:space="preserve"> </w:t>
      </w:r>
    </w:p>
    <w:p w14:paraId="1BC095C0" w14:textId="77777777" w:rsidR="00A8538E" w:rsidRDefault="00A6768D">
      <w:pPr>
        <w:ind w:left="-5" w:right="0"/>
      </w:pPr>
      <w:r>
        <w:t>En cas de rejet ou d’ajournement, les maîtres d’ouvrage disposent pour donner son avis, après présentation par le maître d’œuvre des documents modifiés, des mêmes délais que ceux indiqués ci</w:t>
      </w:r>
      <w:r w:rsidR="00D21FED">
        <w:t>-</w:t>
      </w:r>
      <w:r>
        <w:t xml:space="preserve">dessus. </w:t>
      </w:r>
    </w:p>
    <w:p w14:paraId="463DA9E3" w14:textId="77777777" w:rsidR="00A8538E" w:rsidRDefault="00A6768D">
      <w:pPr>
        <w:spacing w:after="0" w:line="259" w:lineRule="auto"/>
        <w:ind w:left="0" w:right="0" w:firstLine="0"/>
        <w:jc w:val="left"/>
      </w:pPr>
      <w:r>
        <w:t xml:space="preserve"> </w:t>
      </w:r>
    </w:p>
    <w:p w14:paraId="46AB39B7" w14:textId="77777777" w:rsidR="00A8538E" w:rsidRDefault="00A6768D">
      <w:pPr>
        <w:pStyle w:val="Titre2"/>
        <w:ind w:left="-5"/>
      </w:pPr>
      <w:bookmarkStart w:id="26" w:name="_Toc513628509"/>
      <w:r>
        <w:lastRenderedPageBreak/>
        <w:t>Article 4-2 Délais -Pénalités missions « Travaux »</w:t>
      </w:r>
      <w:bookmarkEnd w:id="26"/>
      <w:r>
        <w:rPr>
          <w:u w:val="none"/>
        </w:rPr>
        <w:t xml:space="preserve"> </w:t>
      </w:r>
    </w:p>
    <w:p w14:paraId="31D1E990" w14:textId="77777777" w:rsidR="00A8538E" w:rsidRDefault="00A6768D">
      <w:pPr>
        <w:spacing w:after="0" w:line="259" w:lineRule="auto"/>
        <w:ind w:left="0" w:right="0" w:firstLine="0"/>
        <w:jc w:val="left"/>
      </w:pPr>
      <w:r>
        <w:t xml:space="preserve"> </w:t>
      </w:r>
    </w:p>
    <w:p w14:paraId="5CFA091C" w14:textId="77777777" w:rsidR="00A8538E" w:rsidRDefault="00A6768D">
      <w:pPr>
        <w:pStyle w:val="Titre3"/>
        <w:ind w:left="-5"/>
      </w:pPr>
      <w:r>
        <w:t xml:space="preserve">- Vérification des projets de décomptes mensuels des entrepreneurs </w:t>
      </w:r>
    </w:p>
    <w:p w14:paraId="7F3C622A" w14:textId="77777777" w:rsidR="00A8538E" w:rsidRDefault="00A6768D">
      <w:pPr>
        <w:spacing w:after="55" w:line="259" w:lineRule="auto"/>
        <w:ind w:left="0" w:right="0" w:firstLine="0"/>
        <w:jc w:val="left"/>
      </w:pPr>
      <w:r>
        <w:rPr>
          <w:sz w:val="18"/>
        </w:rPr>
        <w:t xml:space="preserve"> </w:t>
      </w:r>
    </w:p>
    <w:p w14:paraId="4A8EF425" w14:textId="77777777" w:rsidR="00A8538E" w:rsidRDefault="00A6768D">
      <w:pPr>
        <w:ind w:left="-5" w:right="0"/>
      </w:pPr>
      <w:r>
        <w:t xml:space="preserve">Au cours des travaux, le maître d’œuvre doit procéder conformément à l’article 13 du C.C.A.G.-Travaux, à la vérification des projets de décomptes mensuels établis par le ou les entrepreneurs et qui lui sont transmis par lettre recommandée avec avis de réception postal ou remis contre récépissé. Après vérifications, le projet de décompte mensuel, devient le décompte mensuel. </w:t>
      </w:r>
    </w:p>
    <w:p w14:paraId="69391844" w14:textId="77777777" w:rsidR="00A8538E" w:rsidRDefault="00A6768D">
      <w:pPr>
        <w:ind w:left="-5" w:right="0"/>
      </w:pPr>
      <w:r>
        <w:t xml:space="preserve">Le maître d’œuvre détermine, dans les conditions définies à l’article 13.2 du C.C.A.G.-Travaux, le montant de l’acompte mensuel à régler à chaque entrepreneur. Il transmet aux maîtres d’ouvrage en vue du mandatement l’état d’acompte correspondant, qu’il notifie à chaque entrepreneur par ordre de service accompagné du décompte ayant servi de base à ce dernier si le projet établi par l’entrepreneur a été modifié. </w:t>
      </w:r>
    </w:p>
    <w:p w14:paraId="4E64C6F6" w14:textId="77777777" w:rsidR="00A8538E" w:rsidRDefault="00A6768D">
      <w:pPr>
        <w:spacing w:after="39" w:line="259" w:lineRule="auto"/>
        <w:ind w:left="0" w:right="0" w:firstLine="0"/>
        <w:jc w:val="left"/>
      </w:pPr>
      <w:r>
        <w:rPr>
          <w:sz w:val="18"/>
        </w:rPr>
        <w:t xml:space="preserve"> </w:t>
      </w:r>
    </w:p>
    <w:p w14:paraId="0B31B88B" w14:textId="77777777" w:rsidR="00A8538E" w:rsidRDefault="00A6768D">
      <w:pPr>
        <w:ind w:left="-5" w:right="0"/>
      </w:pPr>
      <w:r>
        <w:t xml:space="preserve">Le délai de vérification par le maître d’œuvre du projet de décompte mensuel de chaque entrepreneur est fixé à 7 jours à compter de la date de l’accusé de réception du document ou du récépissé de remise. </w:t>
      </w:r>
    </w:p>
    <w:p w14:paraId="0D815290" w14:textId="77777777" w:rsidR="00A8538E" w:rsidRDefault="00A6768D">
      <w:pPr>
        <w:spacing w:after="55" w:line="259" w:lineRule="auto"/>
        <w:ind w:left="0" w:right="0" w:firstLine="0"/>
        <w:jc w:val="left"/>
      </w:pPr>
      <w:r>
        <w:rPr>
          <w:sz w:val="18"/>
        </w:rPr>
        <w:t xml:space="preserve"> </w:t>
      </w:r>
    </w:p>
    <w:p w14:paraId="35491C47" w14:textId="77777777" w:rsidR="00A8538E" w:rsidRDefault="00A6768D">
      <w:pPr>
        <w:ind w:left="-5" w:right="0"/>
      </w:pPr>
      <w:r>
        <w:t xml:space="preserve">Par dérogation à l’article 14.1 du CCAG-PI, si ce délai n’est pas respecté, le maître d’œuvre encourt, sur ses créances, des pénalités dont le taux par jour calendaire de retard, est fixé à 1/2000 du montant, en prix de base hors TVA, de l’acompte des travaux correspondant. </w:t>
      </w:r>
    </w:p>
    <w:p w14:paraId="50CEB1F3" w14:textId="77777777" w:rsidR="00A8538E" w:rsidRDefault="00A6768D">
      <w:pPr>
        <w:spacing w:after="54" w:line="259" w:lineRule="auto"/>
        <w:ind w:left="0" w:right="0" w:firstLine="0"/>
        <w:jc w:val="left"/>
      </w:pPr>
      <w:r>
        <w:rPr>
          <w:sz w:val="18"/>
        </w:rPr>
        <w:t xml:space="preserve"> </w:t>
      </w:r>
    </w:p>
    <w:p w14:paraId="248D8F2C" w14:textId="77777777" w:rsidR="00A8538E" w:rsidRDefault="00A6768D">
      <w:pPr>
        <w:ind w:left="-5" w:right="0"/>
      </w:pPr>
      <w:r>
        <w:t xml:space="preserve">Par dérogation à l’article 14.3 du CCAG-PI, le prestataire n’est exonéré d’aucune pénalité.  </w:t>
      </w:r>
    </w:p>
    <w:p w14:paraId="65BA40EE" w14:textId="77777777" w:rsidR="00A8538E" w:rsidRDefault="00A6768D">
      <w:pPr>
        <w:ind w:left="-5" w:right="0"/>
      </w:pPr>
      <w:r>
        <w:t>Si du fait du retard imputable au maître d’œuvre, les maîtres d’ouvrage étaient contraint</w:t>
      </w:r>
      <w:r w:rsidR="00D21FED">
        <w:t>s</w:t>
      </w:r>
      <w:r>
        <w:t xml:space="preserve"> de verser des intérêts moratoires aux entrepreneurs concernés, une pénalité égale au montant des intérêts moratoires qui lui sont imputables serait également appliquée. </w:t>
      </w:r>
    </w:p>
    <w:p w14:paraId="3559E246" w14:textId="77777777" w:rsidR="00A8538E" w:rsidRDefault="00A6768D">
      <w:pPr>
        <w:spacing w:after="0" w:line="259" w:lineRule="auto"/>
        <w:ind w:left="0" w:right="0" w:firstLine="0"/>
        <w:jc w:val="left"/>
      </w:pPr>
      <w:r>
        <w:t xml:space="preserve"> </w:t>
      </w:r>
    </w:p>
    <w:p w14:paraId="544A5BEA" w14:textId="77777777" w:rsidR="00A8538E" w:rsidRDefault="00A6768D">
      <w:pPr>
        <w:pStyle w:val="Titre3"/>
        <w:ind w:left="-5"/>
      </w:pPr>
      <w:r>
        <w:t xml:space="preserve">- Vérification du projet de décompte final de l’entrepreneur </w:t>
      </w:r>
    </w:p>
    <w:p w14:paraId="43B4FA99" w14:textId="77777777" w:rsidR="00A8538E" w:rsidRDefault="00A6768D">
      <w:pPr>
        <w:spacing w:after="47" w:line="259" w:lineRule="auto"/>
        <w:ind w:left="0" w:right="0" w:firstLine="0"/>
        <w:jc w:val="left"/>
      </w:pPr>
      <w:r>
        <w:rPr>
          <w:sz w:val="18"/>
        </w:rPr>
        <w:t xml:space="preserve"> </w:t>
      </w:r>
    </w:p>
    <w:p w14:paraId="10FE8A37" w14:textId="77777777" w:rsidR="00A8538E" w:rsidRDefault="00A6768D">
      <w:pPr>
        <w:ind w:left="-5" w:right="0"/>
      </w:pPr>
      <w:r>
        <w:t xml:space="preserve">À l’issue des travaux, le maître d’œuvre vérifie le projet de décompte final de chaque marché de travaux établi par l’entrepreneur conformément à l’article 13.3 du C.C.A.G.-Travaux et qui lui a été transmis par l’entrepreneur par lettre recommandée avec avis de réception postal ou remis contre récépissé. </w:t>
      </w:r>
    </w:p>
    <w:p w14:paraId="1009102A" w14:textId="77777777" w:rsidR="00A8538E" w:rsidRDefault="00A6768D">
      <w:pPr>
        <w:spacing w:after="19" w:line="259" w:lineRule="auto"/>
        <w:ind w:left="0" w:right="0" w:firstLine="0"/>
        <w:jc w:val="left"/>
      </w:pPr>
      <w:r>
        <w:rPr>
          <w:sz w:val="18"/>
        </w:rPr>
        <w:t xml:space="preserve"> </w:t>
      </w:r>
    </w:p>
    <w:p w14:paraId="46BDC6DE" w14:textId="77777777" w:rsidR="00A8538E" w:rsidRDefault="00A6768D">
      <w:pPr>
        <w:ind w:left="-5" w:right="0"/>
      </w:pPr>
      <w:r>
        <w:lastRenderedPageBreak/>
        <w:t xml:space="preserve">Après vérification, le projet de décompte final devient le décompte final. À partir de celui-ci, le maître d’œuvre établit, dans les conditions définies à l’article 13.4 du C.C.A.G.-Travaux, le décompte général. </w:t>
      </w:r>
    </w:p>
    <w:p w14:paraId="7983018B" w14:textId="77777777" w:rsidR="00A8538E" w:rsidRDefault="00A6768D">
      <w:pPr>
        <w:spacing w:after="55" w:line="259" w:lineRule="auto"/>
        <w:ind w:left="0" w:right="0" w:firstLine="0"/>
        <w:jc w:val="left"/>
      </w:pPr>
      <w:r>
        <w:rPr>
          <w:sz w:val="18"/>
        </w:rPr>
        <w:t xml:space="preserve"> </w:t>
      </w:r>
    </w:p>
    <w:p w14:paraId="31DF3BF7" w14:textId="77777777" w:rsidR="00A8538E" w:rsidRDefault="00A6768D">
      <w:pPr>
        <w:ind w:left="-5" w:right="0"/>
      </w:pPr>
      <w:r>
        <w:t xml:space="preserve">Le délai de vérification du projet de décompte final et l’établissement du décompte général est fixé à 15 jours à compter de l’accusé de réception du document ou du récépissé de remise. </w:t>
      </w:r>
    </w:p>
    <w:p w14:paraId="5C0C3FFB" w14:textId="77777777" w:rsidR="00A8538E" w:rsidRDefault="00A6768D">
      <w:pPr>
        <w:spacing w:after="34" w:line="259" w:lineRule="auto"/>
        <w:ind w:left="0" w:right="0" w:firstLine="0"/>
        <w:jc w:val="left"/>
      </w:pPr>
      <w:r>
        <w:rPr>
          <w:sz w:val="18"/>
        </w:rPr>
        <w:t xml:space="preserve"> </w:t>
      </w:r>
    </w:p>
    <w:p w14:paraId="5CFF6470" w14:textId="77777777" w:rsidR="00A8538E" w:rsidRDefault="00A6768D">
      <w:pPr>
        <w:ind w:left="-5" w:right="0"/>
      </w:pPr>
      <w:r>
        <w:t xml:space="preserve">Par dérogation à l’article 14.1 du CCAG-PI, en cas de retard dans la vérification de ce décompte, le maître d’œuvre encourt, sur ses créances, des pénalités dont le montant par jour calendaire de retard est fixé à 1/2000 du montant du décompte général. </w:t>
      </w:r>
    </w:p>
    <w:p w14:paraId="4CBCF7E0" w14:textId="77777777" w:rsidR="00A8538E" w:rsidRDefault="00A6768D">
      <w:pPr>
        <w:spacing w:after="49" w:line="259" w:lineRule="auto"/>
        <w:ind w:left="0" w:right="0" w:firstLine="0"/>
        <w:jc w:val="left"/>
      </w:pPr>
      <w:r>
        <w:rPr>
          <w:sz w:val="18"/>
        </w:rPr>
        <w:t xml:space="preserve"> </w:t>
      </w:r>
    </w:p>
    <w:p w14:paraId="087E2864" w14:textId="77777777" w:rsidR="00A8538E" w:rsidRDefault="00A6768D">
      <w:pPr>
        <w:ind w:left="-5" w:right="0"/>
      </w:pPr>
      <w:r>
        <w:t xml:space="preserve">Par dérogation à l’article 14.3 du CCAG-PI, le prestataire n’est exonéré d’aucune pénalité. </w:t>
      </w:r>
    </w:p>
    <w:p w14:paraId="6AE039E6" w14:textId="77777777" w:rsidR="00A8538E" w:rsidRDefault="00A6768D">
      <w:pPr>
        <w:spacing w:after="44" w:line="259" w:lineRule="auto"/>
        <w:ind w:left="0" w:right="0" w:firstLine="0"/>
        <w:jc w:val="left"/>
      </w:pPr>
      <w:r>
        <w:rPr>
          <w:sz w:val="18"/>
        </w:rPr>
        <w:t xml:space="preserve"> </w:t>
      </w:r>
    </w:p>
    <w:p w14:paraId="371A27E3" w14:textId="7B9C8329" w:rsidR="00A8538E" w:rsidRDefault="00A6768D">
      <w:pPr>
        <w:ind w:left="-5" w:right="0"/>
      </w:pPr>
      <w:r>
        <w:t>Si le maître d’œuvre n’a pas transmis aux maîtres d’ouvrage les projets de décompte mentionnés ci</w:t>
      </w:r>
      <w:r w:rsidR="005851FE">
        <w:t>-</w:t>
      </w:r>
      <w:r>
        <w:t xml:space="preserve">dessus dans les délais prescrits, les maîtres d’ouvrage le mettent en demeure de le faire dans un délai qu’il fixe. </w:t>
      </w:r>
    </w:p>
    <w:p w14:paraId="017908B5" w14:textId="77777777" w:rsidR="00A8538E" w:rsidRDefault="00A6768D">
      <w:pPr>
        <w:spacing w:after="43" w:line="259" w:lineRule="auto"/>
        <w:ind w:left="0" w:right="0" w:firstLine="0"/>
        <w:jc w:val="left"/>
      </w:pPr>
      <w:r>
        <w:rPr>
          <w:sz w:val="18"/>
        </w:rPr>
        <w:t xml:space="preserve">  </w:t>
      </w:r>
    </w:p>
    <w:p w14:paraId="1B4FC80C" w14:textId="3E60BB33" w:rsidR="00A8538E" w:rsidRDefault="00A6768D">
      <w:pPr>
        <w:ind w:left="-5" w:right="0"/>
      </w:pPr>
      <w:r>
        <w:t>Si du fait du retard imputable au maître d’œuvre, les maîtres d’ouvrage étaient contraint</w:t>
      </w:r>
      <w:r w:rsidR="005851FE">
        <w:t>s</w:t>
      </w:r>
      <w:r>
        <w:t xml:space="preserve"> de verser des intérêts moratoires aux entrepreneurs concernés, une pénalité égale au montant des intérêts moratoires qui lui sont imputables serait également appliquée. </w:t>
      </w:r>
    </w:p>
    <w:p w14:paraId="5EBA21FE" w14:textId="77777777" w:rsidR="00A8538E" w:rsidRDefault="00A6768D">
      <w:pPr>
        <w:spacing w:after="0" w:line="259" w:lineRule="auto"/>
        <w:ind w:left="0" w:right="0" w:firstLine="0"/>
        <w:jc w:val="left"/>
      </w:pPr>
      <w:r>
        <w:t xml:space="preserve"> </w:t>
      </w:r>
    </w:p>
    <w:p w14:paraId="25B6E401" w14:textId="77777777" w:rsidR="00A8538E" w:rsidRDefault="00A6768D">
      <w:pPr>
        <w:pStyle w:val="Titre3"/>
        <w:ind w:left="-5"/>
      </w:pPr>
      <w:r>
        <w:t xml:space="preserve">- Instruction du mémoire de réclamation  </w:t>
      </w:r>
    </w:p>
    <w:p w14:paraId="7455CA89" w14:textId="77777777" w:rsidR="00A8538E" w:rsidRDefault="00A6768D">
      <w:pPr>
        <w:spacing w:after="44" w:line="259" w:lineRule="auto"/>
        <w:ind w:left="0" w:right="0" w:firstLine="0"/>
        <w:jc w:val="left"/>
      </w:pPr>
      <w:r>
        <w:rPr>
          <w:sz w:val="18"/>
        </w:rPr>
        <w:t xml:space="preserve"> </w:t>
      </w:r>
    </w:p>
    <w:p w14:paraId="1A47D140" w14:textId="77777777" w:rsidR="00A8538E" w:rsidRDefault="00A6768D">
      <w:pPr>
        <w:ind w:left="-5" w:right="0"/>
      </w:pPr>
      <w:r>
        <w:t xml:space="preserve">Le délai d’instruction des mémoires de réclamation est de 20 jours à compter de la date de réception par le maître d’œuvre du mémoire de réclamation.  </w:t>
      </w:r>
    </w:p>
    <w:p w14:paraId="503331E1" w14:textId="77777777" w:rsidR="00A8538E" w:rsidRDefault="00A6768D">
      <w:pPr>
        <w:ind w:left="-5" w:right="0"/>
        <w:jc w:val="left"/>
      </w:pPr>
      <w:r>
        <w:t xml:space="preserve">En cas de retard dans l’instruction0 du mémoire de réclamation, le maître d’œuvre encourt sur ses créances des pénalités dont le taux par jour de retard est fixé à 1/3000 du montant initial du marché de travaux connexes. </w:t>
      </w:r>
    </w:p>
    <w:p w14:paraId="570D7654" w14:textId="77777777" w:rsidR="00A8538E" w:rsidRDefault="00A6768D">
      <w:pPr>
        <w:spacing w:after="57" w:line="259" w:lineRule="auto"/>
        <w:ind w:left="0" w:right="0" w:firstLine="0"/>
        <w:jc w:val="left"/>
      </w:pPr>
      <w:r>
        <w:rPr>
          <w:sz w:val="18"/>
        </w:rPr>
        <w:t xml:space="preserve"> </w:t>
      </w:r>
    </w:p>
    <w:p w14:paraId="3A815C71" w14:textId="77777777" w:rsidR="00A8538E" w:rsidRDefault="00A6768D">
      <w:pPr>
        <w:ind w:left="-5" w:right="0"/>
      </w:pPr>
      <w:r>
        <w:t xml:space="preserve">Par dérogation à l’article 14.3 du CCAG-PI, le prestataire n’est exonéré d’aucune pénalité. </w:t>
      </w:r>
    </w:p>
    <w:p w14:paraId="0FC4326C" w14:textId="77777777" w:rsidR="00D21FED" w:rsidRDefault="00D21FED">
      <w:pPr>
        <w:ind w:left="-5" w:right="0"/>
      </w:pPr>
    </w:p>
    <w:p w14:paraId="74CF04C4" w14:textId="77777777" w:rsidR="00A8538E" w:rsidRDefault="00A6768D">
      <w:pPr>
        <w:pStyle w:val="Titre1"/>
        <w:ind w:left="-5"/>
      </w:pPr>
      <w:bookmarkStart w:id="27" w:name="_Toc513628510"/>
      <w:r>
        <w:lastRenderedPageBreak/>
        <w:t>Article 5 : Exécution de la mission de maîtrise d’œuvre jusqu’à la passation des marchés de travaux</w:t>
      </w:r>
      <w:bookmarkEnd w:id="27"/>
      <w:r>
        <w:t xml:space="preserve"> </w:t>
      </w:r>
    </w:p>
    <w:p w14:paraId="44F6C17F" w14:textId="77777777" w:rsidR="00A8538E" w:rsidRDefault="00A6768D">
      <w:pPr>
        <w:spacing w:after="19" w:line="259" w:lineRule="auto"/>
        <w:ind w:left="0" w:right="0" w:firstLine="0"/>
        <w:jc w:val="left"/>
      </w:pPr>
      <w:r>
        <w:rPr>
          <w:sz w:val="20"/>
        </w:rPr>
        <w:t xml:space="preserve"> </w:t>
      </w:r>
    </w:p>
    <w:p w14:paraId="496A0D5D" w14:textId="77777777" w:rsidR="00A8538E" w:rsidRDefault="00A6768D">
      <w:pPr>
        <w:pStyle w:val="Titre2"/>
        <w:ind w:left="-5"/>
      </w:pPr>
      <w:bookmarkStart w:id="28" w:name="_Toc513628511"/>
      <w:r>
        <w:t>Article 5-1 Coût prévisionnel des travaux</w:t>
      </w:r>
      <w:bookmarkEnd w:id="28"/>
      <w:r>
        <w:rPr>
          <w:u w:val="none"/>
        </w:rPr>
        <w:t xml:space="preserve"> </w:t>
      </w:r>
    </w:p>
    <w:p w14:paraId="048F75AA" w14:textId="77777777" w:rsidR="00A8538E" w:rsidRDefault="00A6768D">
      <w:pPr>
        <w:spacing w:after="3" w:line="259" w:lineRule="auto"/>
        <w:ind w:left="0" w:right="0" w:firstLine="0"/>
        <w:jc w:val="left"/>
      </w:pPr>
      <w:r>
        <w:rPr>
          <w:b/>
          <w:sz w:val="24"/>
        </w:rPr>
        <w:t xml:space="preserve"> </w:t>
      </w:r>
    </w:p>
    <w:p w14:paraId="0EA1BC2C" w14:textId="77777777" w:rsidR="00A8538E" w:rsidRDefault="00A6768D">
      <w:pPr>
        <w:spacing w:after="27"/>
        <w:ind w:left="-5" w:right="0"/>
      </w:pPr>
      <w:r>
        <w:t xml:space="preserve">Le montant prévisionnel des travaux sur lequel s’engage le maître d’œuvre est fixé à l’acte d’engagement. Le montant prévisionnel des travaux est le montant de toutes les prestations nécessaires pour mener à son terme la réalisation de l’ouvrage à l’exclusion : </w:t>
      </w:r>
    </w:p>
    <w:p w14:paraId="6DBCAD69" w14:textId="77777777" w:rsidR="00A8538E" w:rsidRDefault="00A6768D">
      <w:pPr>
        <w:numPr>
          <w:ilvl w:val="0"/>
          <w:numId w:val="9"/>
        </w:numPr>
        <w:ind w:right="0" w:hanging="137"/>
      </w:pPr>
      <w:proofErr w:type="gramStart"/>
      <w:r>
        <w:t>du</w:t>
      </w:r>
      <w:proofErr w:type="gramEnd"/>
      <w:r>
        <w:t xml:space="preserve"> forfait de rémunération du maître d’œuvre ;  </w:t>
      </w:r>
    </w:p>
    <w:p w14:paraId="7A5595A5" w14:textId="77777777" w:rsidR="00A8538E" w:rsidRDefault="00A6768D">
      <w:pPr>
        <w:numPr>
          <w:ilvl w:val="0"/>
          <w:numId w:val="9"/>
        </w:numPr>
        <w:ind w:right="0" w:hanging="137"/>
      </w:pPr>
      <w:proofErr w:type="gramStart"/>
      <w:r>
        <w:t>des</w:t>
      </w:r>
      <w:proofErr w:type="gramEnd"/>
      <w:r>
        <w:t xml:space="preserve"> frais de consultation (insertion dans les journaux d’annonces légales…) ;  </w:t>
      </w:r>
    </w:p>
    <w:p w14:paraId="405AC890" w14:textId="77777777" w:rsidR="00A8538E" w:rsidRDefault="00A6768D">
      <w:pPr>
        <w:numPr>
          <w:ilvl w:val="0"/>
          <w:numId w:val="9"/>
        </w:numPr>
        <w:ind w:right="0" w:hanging="137"/>
      </w:pPr>
      <w:proofErr w:type="gramStart"/>
      <w:r>
        <w:t>de</w:t>
      </w:r>
      <w:proofErr w:type="gramEnd"/>
      <w:r>
        <w:t xml:space="preserve"> tous les frais financiers ;  </w:t>
      </w:r>
    </w:p>
    <w:p w14:paraId="75CD0C42" w14:textId="77777777" w:rsidR="00A8538E" w:rsidRDefault="00A6768D">
      <w:pPr>
        <w:numPr>
          <w:ilvl w:val="0"/>
          <w:numId w:val="9"/>
        </w:numPr>
        <w:ind w:right="0" w:hanging="137"/>
      </w:pPr>
      <w:proofErr w:type="gramStart"/>
      <w:r>
        <w:t>des</w:t>
      </w:r>
      <w:proofErr w:type="gramEnd"/>
      <w:r>
        <w:t xml:space="preserve"> dépenses de libération d'emprise ;  </w:t>
      </w:r>
    </w:p>
    <w:p w14:paraId="565C38E9" w14:textId="77777777" w:rsidR="00A8538E" w:rsidRDefault="00A6768D">
      <w:pPr>
        <w:numPr>
          <w:ilvl w:val="0"/>
          <w:numId w:val="9"/>
        </w:numPr>
        <w:ind w:right="0" w:hanging="137"/>
      </w:pPr>
      <w:proofErr w:type="gramStart"/>
      <w:r>
        <w:t>des</w:t>
      </w:r>
      <w:proofErr w:type="gramEnd"/>
      <w:r>
        <w:t xml:space="preserve"> dépenses d'exécution d'œuvre d'art confiée à un artiste ou à un maître artisan ;  </w:t>
      </w:r>
    </w:p>
    <w:p w14:paraId="2B002314" w14:textId="77777777" w:rsidR="00A8538E" w:rsidRDefault="00A6768D">
      <w:pPr>
        <w:numPr>
          <w:ilvl w:val="0"/>
          <w:numId w:val="9"/>
        </w:numPr>
        <w:ind w:right="0" w:hanging="137"/>
      </w:pPr>
      <w:proofErr w:type="gramStart"/>
      <w:r>
        <w:t>des</w:t>
      </w:r>
      <w:proofErr w:type="gramEnd"/>
      <w:r>
        <w:t xml:space="preserve"> frais éventuels de contrôle technique ;  </w:t>
      </w:r>
    </w:p>
    <w:p w14:paraId="3F4E8757" w14:textId="09DA9F36" w:rsidR="00A8538E" w:rsidRDefault="00A6768D">
      <w:pPr>
        <w:numPr>
          <w:ilvl w:val="0"/>
          <w:numId w:val="9"/>
        </w:numPr>
        <w:ind w:right="0" w:hanging="137"/>
      </w:pPr>
      <w:proofErr w:type="gramStart"/>
      <w:r>
        <w:t>des</w:t>
      </w:r>
      <w:proofErr w:type="gramEnd"/>
      <w:r>
        <w:t xml:space="preserve"> frais éventuels de coordination « sécurité et protection de la santé » ;  - de la prime éventuelle de l'assurance « dommages – ouvrages ».  </w:t>
      </w:r>
    </w:p>
    <w:p w14:paraId="231A9FA1" w14:textId="77777777" w:rsidR="00930E25" w:rsidRDefault="00930E25">
      <w:pPr>
        <w:numPr>
          <w:ilvl w:val="0"/>
          <w:numId w:val="9"/>
        </w:numPr>
        <w:ind w:right="0" w:hanging="137"/>
      </w:pPr>
    </w:p>
    <w:p w14:paraId="42AADC9D" w14:textId="77777777" w:rsidR="00A8538E" w:rsidRDefault="00A6768D">
      <w:pPr>
        <w:spacing w:after="28" w:line="259" w:lineRule="auto"/>
        <w:ind w:left="0" w:right="0" w:firstLine="0"/>
        <w:jc w:val="left"/>
      </w:pPr>
      <w:r>
        <w:t xml:space="preserve"> </w:t>
      </w:r>
    </w:p>
    <w:p w14:paraId="2FDE3BDE" w14:textId="77777777" w:rsidR="00A8538E" w:rsidRDefault="00A6768D">
      <w:pPr>
        <w:pStyle w:val="Titre2"/>
        <w:ind w:left="-5"/>
      </w:pPr>
      <w:bookmarkStart w:id="29" w:name="_Toc513628512"/>
      <w:r>
        <w:t>Article 5-2 Conditions économiques d’établissement</w:t>
      </w:r>
      <w:bookmarkEnd w:id="29"/>
      <w:r>
        <w:rPr>
          <w:u w:val="none"/>
        </w:rPr>
        <w:t xml:space="preserve"> </w:t>
      </w:r>
    </w:p>
    <w:p w14:paraId="7BAB7C67" w14:textId="77777777" w:rsidR="00A8538E" w:rsidRDefault="00A6768D">
      <w:pPr>
        <w:spacing w:after="52" w:line="259" w:lineRule="auto"/>
        <w:ind w:left="0" w:right="0" w:firstLine="0"/>
        <w:jc w:val="left"/>
      </w:pPr>
      <w:r>
        <w:t xml:space="preserve"> </w:t>
      </w:r>
    </w:p>
    <w:p w14:paraId="7CD06391" w14:textId="77777777" w:rsidR="00A8538E" w:rsidRDefault="00A6768D">
      <w:pPr>
        <w:spacing w:after="258"/>
        <w:ind w:left="-5" w:right="0"/>
      </w:pPr>
      <w:r>
        <w:t xml:space="preserve">Le montant prévisionnel des travaux est réputé établi sur la base des conditions économiques du mois Mo (Mo Études) fixé à l’article 3.2 du C.C.P.  </w:t>
      </w:r>
    </w:p>
    <w:p w14:paraId="61889E18" w14:textId="77777777" w:rsidR="00A8538E" w:rsidRDefault="00A6768D">
      <w:pPr>
        <w:pStyle w:val="Titre2"/>
        <w:ind w:left="-5"/>
      </w:pPr>
      <w:bookmarkStart w:id="30" w:name="_Toc513628513"/>
      <w:r>
        <w:t>Article 5-3 Tolérance sur le coût prévisionnel des travaux</w:t>
      </w:r>
      <w:bookmarkEnd w:id="30"/>
      <w:r>
        <w:rPr>
          <w:u w:val="none"/>
        </w:rPr>
        <w:t xml:space="preserve"> </w:t>
      </w:r>
    </w:p>
    <w:p w14:paraId="5125F8A0" w14:textId="77777777" w:rsidR="00A8538E" w:rsidRDefault="00A6768D">
      <w:pPr>
        <w:spacing w:after="4" w:line="259" w:lineRule="auto"/>
        <w:ind w:left="0" w:right="0" w:firstLine="0"/>
        <w:jc w:val="left"/>
      </w:pPr>
      <w:r>
        <w:t xml:space="preserve"> </w:t>
      </w:r>
    </w:p>
    <w:p w14:paraId="38C00045" w14:textId="63039AAF" w:rsidR="00A8538E" w:rsidRDefault="00A6768D">
      <w:pPr>
        <w:spacing w:after="257"/>
        <w:ind w:left="-5" w:right="0"/>
      </w:pPr>
      <w:r>
        <w:t xml:space="preserve">Le montant prévisionnel des travaux est assorti d’un taux de tolérance de </w:t>
      </w:r>
      <w:r w:rsidR="006D364B" w:rsidRPr="005851FE">
        <w:rPr>
          <w:color w:val="auto"/>
        </w:rPr>
        <w:t>5%</w:t>
      </w:r>
      <w:r w:rsidRPr="005851FE">
        <w:rPr>
          <w:color w:val="auto"/>
        </w:rPr>
        <w:t xml:space="preserve">, </w:t>
      </w:r>
      <w:r>
        <w:t xml:space="preserve">sauf suggestions imprévisibles ou modifications substantielles du programme demandées par le maître d’ouvrage en cours d’étude.  </w:t>
      </w:r>
    </w:p>
    <w:p w14:paraId="38D7315B" w14:textId="77777777" w:rsidR="00A8538E" w:rsidRDefault="00A6768D">
      <w:pPr>
        <w:pStyle w:val="Titre2"/>
        <w:ind w:left="-5"/>
      </w:pPr>
      <w:bookmarkStart w:id="31" w:name="_Toc513208153"/>
      <w:bookmarkStart w:id="32" w:name="_Toc513628514"/>
      <w:r>
        <w:t>Article 5-4 Seuil de tolérance</w:t>
      </w:r>
      <w:bookmarkEnd w:id="31"/>
      <w:bookmarkEnd w:id="32"/>
      <w:r>
        <w:rPr>
          <w:u w:val="none"/>
        </w:rPr>
        <w:t xml:space="preserve"> </w:t>
      </w:r>
    </w:p>
    <w:p w14:paraId="328D452E" w14:textId="77777777" w:rsidR="00A8538E" w:rsidRDefault="00A6768D">
      <w:pPr>
        <w:spacing w:after="0" w:line="259" w:lineRule="auto"/>
        <w:ind w:left="0" w:right="0" w:firstLine="0"/>
        <w:jc w:val="left"/>
      </w:pPr>
      <w:r>
        <w:t xml:space="preserve"> </w:t>
      </w:r>
    </w:p>
    <w:p w14:paraId="70A3B65F" w14:textId="77777777" w:rsidR="00A8538E" w:rsidRDefault="00A6768D">
      <w:pPr>
        <w:spacing w:after="246"/>
        <w:ind w:left="-5" w:right="0"/>
      </w:pPr>
      <w:r>
        <w:lastRenderedPageBreak/>
        <w:t xml:space="preserve">Le seuil de tolérance est égal au montant prévisionnel des travaux majoré du produit de ce montant par le taux de tolérance fixé à l’article 5-3.  </w:t>
      </w:r>
    </w:p>
    <w:p w14:paraId="53985159" w14:textId="77777777" w:rsidR="00A8538E" w:rsidRDefault="00A6768D">
      <w:pPr>
        <w:spacing w:after="245"/>
        <w:ind w:left="-5" w:right="0"/>
      </w:pPr>
      <w:r>
        <w:t xml:space="preserve">L’avancement des études permet au maître d’œuvre lors de l’établissement des prestations de chaque élément de vérifier que le projet s’inscrit dans le respect de son engagement sur le montant prévisionnel des travaux.  </w:t>
      </w:r>
    </w:p>
    <w:p w14:paraId="1575A079" w14:textId="77777777" w:rsidR="00A8538E" w:rsidRDefault="00A6768D">
      <w:pPr>
        <w:spacing w:after="259"/>
        <w:ind w:left="-5" w:right="0"/>
      </w:pPr>
      <w:r>
        <w:t xml:space="preserve">Chaque fois qu’il constate que le projet qu’il a conçu ne permet pas de respecter ce seuil de tolérance et ceci avant même de connaître les résultats de la consultation lancée pour la passation des marchés de travaux le maître d’œuvre doit reprendre gratuitement ses études si les maîtres d’ouvrage le lui demandent.  </w:t>
      </w:r>
    </w:p>
    <w:p w14:paraId="6D4B4D61" w14:textId="77777777" w:rsidR="00930E25" w:rsidRDefault="00A6768D" w:rsidP="00930E25">
      <w:pPr>
        <w:pStyle w:val="Titre2"/>
        <w:ind w:left="-5"/>
        <w:rPr>
          <w:u w:val="none"/>
        </w:rPr>
      </w:pPr>
      <w:bookmarkStart w:id="33" w:name="_Toc513628515"/>
      <w:r>
        <w:t>Article 5-5 Coût de référence des travaux</w:t>
      </w:r>
      <w:bookmarkEnd w:id="33"/>
      <w:r>
        <w:rPr>
          <w:u w:val="none"/>
        </w:rPr>
        <w:t xml:space="preserve"> </w:t>
      </w:r>
    </w:p>
    <w:p w14:paraId="1824A39D" w14:textId="204E0CBC" w:rsidR="00A8538E" w:rsidRDefault="00A6768D" w:rsidP="00930E25">
      <w:pPr>
        <w:pStyle w:val="Titre2"/>
        <w:ind w:left="-5"/>
      </w:pPr>
      <w:r>
        <w:rPr>
          <w:b/>
        </w:rPr>
        <w:t xml:space="preserve"> </w:t>
      </w:r>
    </w:p>
    <w:p w14:paraId="37144955" w14:textId="77777777" w:rsidR="00930E25" w:rsidRDefault="00A6768D" w:rsidP="00930E25">
      <w:pPr>
        <w:spacing w:after="250"/>
        <w:ind w:left="-5" w:right="0"/>
      </w:pPr>
      <w:r>
        <w:t xml:space="preserve">Lorsque les maîtres d’ouvrage disposent des résultats de la mise en compétition relative à la passation des marchés de travaux, le maître d’œuvre établit le coût des travaux tel qu’il résulte de la consultation (coût de référence).  </w:t>
      </w:r>
    </w:p>
    <w:p w14:paraId="76BB57DA" w14:textId="1632D4A4" w:rsidR="00A8538E" w:rsidRDefault="00A6768D" w:rsidP="00930E25">
      <w:pPr>
        <w:spacing w:after="250"/>
        <w:ind w:left="-5" w:right="0"/>
      </w:pPr>
      <w:r>
        <w:t xml:space="preserve">Ce coût est obtenu en divisant le montant des offres considérées, tous critères confondus, comme les plus intéressantes par les maîtres d’ouvrage, par un coefficient de réajustement égal au rapport de l’index TP01 (catégorie infrastructure) pris respectivement au mois Mo des offres travaux ci-dessus et au mois Mo des études du marché de maîtrise d’œuvre.  </w:t>
      </w:r>
    </w:p>
    <w:p w14:paraId="0C2646A0" w14:textId="77777777" w:rsidR="00A8538E" w:rsidRDefault="00A6768D">
      <w:pPr>
        <w:spacing w:after="50" w:line="259" w:lineRule="auto"/>
        <w:ind w:left="0" w:right="0" w:firstLine="0"/>
        <w:jc w:val="left"/>
      </w:pPr>
      <w:r>
        <w:rPr>
          <w:sz w:val="16"/>
        </w:rPr>
        <w:t xml:space="preserve"> </w:t>
      </w:r>
    </w:p>
    <w:p w14:paraId="3370287D" w14:textId="77777777" w:rsidR="00A8538E" w:rsidRDefault="00A6768D">
      <w:pPr>
        <w:ind w:left="-5" w:right="0"/>
      </w:pPr>
      <w:r>
        <w:t xml:space="preserve">Ce coefficient est arrondi au millième supérieur. </w:t>
      </w:r>
    </w:p>
    <w:p w14:paraId="70CE1E5F" w14:textId="77777777" w:rsidR="00A8538E" w:rsidRDefault="00A6768D">
      <w:pPr>
        <w:spacing w:after="59" w:line="259" w:lineRule="auto"/>
        <w:ind w:left="0" w:right="0" w:firstLine="0"/>
        <w:jc w:val="left"/>
      </w:pPr>
      <w:r>
        <w:rPr>
          <w:sz w:val="16"/>
        </w:rPr>
        <w:t xml:space="preserve"> </w:t>
      </w:r>
    </w:p>
    <w:p w14:paraId="2E700FFC" w14:textId="7CE46E35" w:rsidR="00A8538E" w:rsidRDefault="00A6768D">
      <w:pPr>
        <w:ind w:left="-5" w:right="0"/>
      </w:pPr>
      <w:r>
        <w:t xml:space="preserve">Si le coût est supérieur au seuil de tolérance, les maîtres d’ouvrage peuvent déclarer l’appel d’offres infructueux. </w:t>
      </w:r>
    </w:p>
    <w:p w14:paraId="6264DDB7" w14:textId="77777777" w:rsidR="00930E25" w:rsidRDefault="00930E25">
      <w:pPr>
        <w:ind w:left="-5" w:right="0"/>
      </w:pPr>
    </w:p>
    <w:bookmarkStart w:id="34" w:name="_Toc513628516"/>
    <w:p w14:paraId="5E4960C3" w14:textId="77777777" w:rsidR="00A8538E" w:rsidRPr="00930E25" w:rsidRDefault="00A6768D" w:rsidP="00930E25">
      <w:pPr>
        <w:pStyle w:val="Titre2"/>
        <w:rPr>
          <w:u w:val="none"/>
        </w:rPr>
      </w:pPr>
      <w:r w:rsidRPr="00930E25">
        <w:rPr>
          <w:noProof/>
          <w:u w:val="none"/>
        </w:rPr>
        <mc:AlternateContent>
          <mc:Choice Requires="wpg">
            <w:drawing>
              <wp:anchor distT="0" distB="0" distL="114300" distR="114300" simplePos="0" relativeHeight="251658240" behindDoc="0" locked="0" layoutInCell="1" allowOverlap="1" wp14:anchorId="4DCBD80A" wp14:editId="202BDE96">
                <wp:simplePos x="0" y="0"/>
                <wp:positionH relativeFrom="column">
                  <wp:posOffset>0</wp:posOffset>
                </wp:positionH>
                <wp:positionV relativeFrom="paragraph">
                  <wp:posOffset>154686</wp:posOffset>
                </wp:positionV>
                <wp:extent cx="4821301" cy="10668"/>
                <wp:effectExtent l="0" t="0" r="0" b="0"/>
                <wp:wrapNone/>
                <wp:docPr id="38996" name="Group 38996"/>
                <wp:cNvGraphicFramePr/>
                <a:graphic xmlns:a="http://schemas.openxmlformats.org/drawingml/2006/main">
                  <a:graphicData uri="http://schemas.microsoft.com/office/word/2010/wordprocessingGroup">
                    <wpg:wgp>
                      <wpg:cNvGrpSpPr/>
                      <wpg:grpSpPr>
                        <a:xfrm>
                          <a:off x="0" y="0"/>
                          <a:ext cx="4821301" cy="10668"/>
                          <a:chOff x="0" y="0"/>
                          <a:chExt cx="4821301" cy="10668"/>
                        </a:xfrm>
                      </wpg:grpSpPr>
                      <wps:wsp>
                        <wps:cNvPr id="43253" name="Shape 43253"/>
                        <wps:cNvSpPr/>
                        <wps:spPr>
                          <a:xfrm>
                            <a:off x="0" y="0"/>
                            <a:ext cx="4821301" cy="10668"/>
                          </a:xfrm>
                          <a:custGeom>
                            <a:avLst/>
                            <a:gdLst/>
                            <a:ahLst/>
                            <a:cxnLst/>
                            <a:rect l="0" t="0" r="0" b="0"/>
                            <a:pathLst>
                              <a:path w="4821301" h="10668">
                                <a:moveTo>
                                  <a:pt x="0" y="0"/>
                                </a:moveTo>
                                <a:lnTo>
                                  <a:pt x="4821301" y="0"/>
                                </a:lnTo>
                                <a:lnTo>
                                  <a:pt x="48213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996" style="width:379.63pt;height:0.840027pt;position:absolute;z-index:39;mso-position-horizontal-relative:text;mso-position-horizontal:absolute;margin-left:0pt;mso-position-vertical-relative:text;margin-top:12.18pt;" coordsize="48213,106">
                <v:shape id="Shape 43254" style="position:absolute;width:48213;height:106;left:0;top:0;" coordsize="4821301,10668" path="m0,0l4821301,0l4821301,10668l0,10668l0,0">
                  <v:stroke weight="0pt" endcap="flat" joinstyle="miter" miterlimit="10" on="false" color="#000000" opacity="0"/>
                  <v:fill on="true" color="#000000"/>
                </v:shape>
              </v:group>
            </w:pict>
          </mc:Fallback>
        </mc:AlternateContent>
      </w:r>
      <w:r w:rsidRPr="00930E25">
        <w:rPr>
          <w:u w:val="none"/>
        </w:rPr>
        <w:t>5-6 Études particulières comprises dans les Missions « Études »</w:t>
      </w:r>
      <w:bookmarkEnd w:id="34"/>
      <w:r w:rsidRPr="00930E25">
        <w:rPr>
          <w:u w:val="none"/>
        </w:rPr>
        <w:t xml:space="preserve"> </w:t>
      </w:r>
    </w:p>
    <w:p w14:paraId="4011F860" w14:textId="77777777" w:rsidR="00A8538E" w:rsidRDefault="00A6768D">
      <w:pPr>
        <w:spacing w:after="1" w:line="259" w:lineRule="auto"/>
        <w:ind w:left="0" w:right="0" w:firstLine="0"/>
        <w:jc w:val="left"/>
      </w:pPr>
      <w:r>
        <w:t xml:space="preserve"> </w:t>
      </w:r>
    </w:p>
    <w:p w14:paraId="0C72450F" w14:textId="77777777" w:rsidR="00A8538E" w:rsidRDefault="00A6768D">
      <w:pPr>
        <w:ind w:left="-5" w:right="0"/>
      </w:pPr>
      <w:r>
        <w:t xml:space="preserve">La direction des études incombe au maître d’œuvre qui est l’unique responsable des vérifications techniques préalables à la conception des ouvrages. Il est tenu de procéder, ou de faire procéder par un </w:t>
      </w:r>
      <w:r>
        <w:lastRenderedPageBreak/>
        <w:t xml:space="preserve">sous-traitant s’il ne dispose pas des compétences requises, à l’ensemble des opérations de mesures topographiques (planimétrie, altimétrie) et d’études géotechniques utiles à la conception des ouvrages.  </w:t>
      </w:r>
    </w:p>
    <w:p w14:paraId="16CFFD2F" w14:textId="77777777" w:rsidR="00A8538E" w:rsidRDefault="00A6768D">
      <w:pPr>
        <w:spacing w:after="7" w:line="259" w:lineRule="auto"/>
        <w:ind w:left="0" w:right="0" w:firstLine="0"/>
        <w:jc w:val="left"/>
      </w:pPr>
      <w:r>
        <w:t xml:space="preserve"> </w:t>
      </w:r>
    </w:p>
    <w:p w14:paraId="4430B869" w14:textId="77777777" w:rsidR="00A8538E" w:rsidRDefault="00A6768D">
      <w:pPr>
        <w:ind w:left="-5" w:right="0"/>
      </w:pPr>
      <w:r>
        <w:t>Le maître d’œuvre devra également fournir aux maîtres d’ouvrage des plans de leur commune mis à jour, à minima sous format informatique visualisable et exploitable (</w:t>
      </w:r>
      <w:proofErr w:type="spellStart"/>
      <w:r>
        <w:t>pdf</w:t>
      </w:r>
      <w:proofErr w:type="spellEnd"/>
      <w:r>
        <w:t xml:space="preserve">, </w:t>
      </w:r>
      <w:proofErr w:type="spellStart"/>
      <w:r>
        <w:t>dwg</w:t>
      </w:r>
      <w:proofErr w:type="spellEnd"/>
      <w:r>
        <w:t xml:space="preserve">…), faisant figurer le nouveau réseau de voiries, de fossés et les principaux réseaux. </w:t>
      </w:r>
    </w:p>
    <w:p w14:paraId="1C1F60CC" w14:textId="77777777" w:rsidR="00A8538E" w:rsidRDefault="00A6768D">
      <w:pPr>
        <w:spacing w:after="0" w:line="259" w:lineRule="auto"/>
        <w:ind w:left="0" w:right="0" w:firstLine="0"/>
        <w:jc w:val="left"/>
      </w:pPr>
      <w:r>
        <w:t xml:space="preserve"> </w:t>
      </w:r>
    </w:p>
    <w:p w14:paraId="7AD144FA" w14:textId="77777777" w:rsidR="00A8538E" w:rsidRDefault="00A6768D">
      <w:pPr>
        <w:spacing w:after="49" w:line="259" w:lineRule="auto"/>
        <w:ind w:left="0" w:right="0" w:firstLine="0"/>
        <w:jc w:val="left"/>
      </w:pPr>
      <w:r>
        <w:t xml:space="preserve"> </w:t>
      </w:r>
    </w:p>
    <w:p w14:paraId="495026FA" w14:textId="77777777" w:rsidR="00A8538E" w:rsidRDefault="00A6768D">
      <w:pPr>
        <w:pStyle w:val="Titre1"/>
        <w:ind w:left="-5"/>
      </w:pPr>
      <w:bookmarkStart w:id="35" w:name="_Toc513628517"/>
      <w:r>
        <w:t>Article 6 : Exécution de la mission de maîtrise d’œuvre après la passation des marchés de travaux</w:t>
      </w:r>
      <w:bookmarkEnd w:id="35"/>
      <w:r>
        <w:t xml:space="preserve"> </w:t>
      </w:r>
    </w:p>
    <w:p w14:paraId="22F41DEA" w14:textId="77777777" w:rsidR="00A8538E" w:rsidRDefault="00A6768D">
      <w:pPr>
        <w:spacing w:after="0" w:line="259" w:lineRule="auto"/>
        <w:ind w:left="0" w:right="0" w:firstLine="0"/>
        <w:jc w:val="left"/>
      </w:pPr>
      <w:r>
        <w:t xml:space="preserve"> </w:t>
      </w:r>
    </w:p>
    <w:p w14:paraId="0A2C4C5D" w14:textId="77777777" w:rsidR="00A8538E" w:rsidRDefault="00A6768D">
      <w:pPr>
        <w:ind w:left="-5" w:right="0"/>
      </w:pPr>
      <w:r>
        <w:t xml:space="preserve">Les maîtres d'ouvrage attachent une grande importance à ce que le coût des travaux à chaque stade d'avancement de l'opération soit le plus proche possible de l'enveloppe financière fixée à l'acte d'engagement  </w:t>
      </w:r>
    </w:p>
    <w:p w14:paraId="607A41A8" w14:textId="77777777" w:rsidR="00A8538E" w:rsidRDefault="00A6768D">
      <w:pPr>
        <w:spacing w:after="0" w:line="259" w:lineRule="auto"/>
        <w:ind w:left="0" w:right="0" w:firstLine="0"/>
        <w:jc w:val="left"/>
      </w:pPr>
      <w:r>
        <w:t xml:space="preserve"> </w:t>
      </w:r>
    </w:p>
    <w:p w14:paraId="4D35BADF" w14:textId="77777777" w:rsidR="00A8538E" w:rsidRDefault="00A6768D">
      <w:pPr>
        <w:pStyle w:val="Titre2"/>
        <w:ind w:left="-5"/>
      </w:pPr>
      <w:bookmarkStart w:id="36" w:name="_Toc513628518"/>
      <w:r>
        <w:t>Article 6-1 Coût de réalisation des travaux</w:t>
      </w:r>
      <w:bookmarkEnd w:id="36"/>
      <w:r>
        <w:rPr>
          <w:u w:val="none"/>
        </w:rPr>
        <w:t xml:space="preserve"> </w:t>
      </w:r>
    </w:p>
    <w:p w14:paraId="214EEBFC" w14:textId="77777777" w:rsidR="00A8538E" w:rsidRDefault="00A6768D">
      <w:pPr>
        <w:spacing w:after="0" w:line="259" w:lineRule="auto"/>
        <w:ind w:left="0" w:right="0" w:firstLine="0"/>
        <w:jc w:val="left"/>
      </w:pPr>
      <w:r>
        <w:t xml:space="preserve"> </w:t>
      </w:r>
    </w:p>
    <w:p w14:paraId="6BBFD665" w14:textId="77777777" w:rsidR="00A8538E" w:rsidRDefault="00A6768D">
      <w:pPr>
        <w:ind w:left="-5" w:right="0"/>
      </w:pPr>
      <w:r>
        <w:t xml:space="preserve">Le coût de réalisation des travaux est le coût qui résulte de contrats de travaux passés par les maîtres d’ouvrage pour la réalisation du projet. Il est égal à la somme des montants initiaux des marchés de travaux avec les entreprises.  </w:t>
      </w:r>
    </w:p>
    <w:p w14:paraId="3990D535" w14:textId="77777777" w:rsidR="00A8538E" w:rsidRDefault="00A6768D">
      <w:pPr>
        <w:ind w:left="-5" w:right="0"/>
      </w:pPr>
      <w:r>
        <w:t xml:space="preserve">Le maître d’œuvre est réputé avoir prévu, dans le document ayant servi de base à la consultation des entreprises, tous les travaux nécessaires à la réalisation du programme. </w:t>
      </w:r>
    </w:p>
    <w:p w14:paraId="0450171E" w14:textId="77777777" w:rsidR="00A8538E" w:rsidRDefault="00A6768D">
      <w:pPr>
        <w:spacing w:after="28" w:line="259" w:lineRule="auto"/>
        <w:ind w:left="0" w:right="0" w:firstLine="0"/>
        <w:jc w:val="left"/>
      </w:pPr>
      <w:r>
        <w:t xml:space="preserve"> </w:t>
      </w:r>
    </w:p>
    <w:p w14:paraId="0F938A9B" w14:textId="77777777" w:rsidR="00A8538E" w:rsidRDefault="00A6768D">
      <w:pPr>
        <w:pStyle w:val="Titre2"/>
        <w:ind w:left="-5"/>
      </w:pPr>
      <w:bookmarkStart w:id="37" w:name="_Toc513628519"/>
      <w:r>
        <w:t>Article 6-2 Conditions économiques d’établissement</w:t>
      </w:r>
      <w:bookmarkEnd w:id="37"/>
      <w:r>
        <w:rPr>
          <w:u w:val="none"/>
        </w:rPr>
        <w:t xml:space="preserve"> </w:t>
      </w:r>
    </w:p>
    <w:p w14:paraId="2A391255" w14:textId="77777777" w:rsidR="00A8538E" w:rsidRDefault="00A6768D">
      <w:pPr>
        <w:spacing w:after="0" w:line="259" w:lineRule="auto"/>
        <w:ind w:left="0" w:right="0" w:firstLine="0"/>
        <w:jc w:val="left"/>
      </w:pPr>
      <w:r>
        <w:t xml:space="preserve"> </w:t>
      </w:r>
    </w:p>
    <w:p w14:paraId="6A811F4B" w14:textId="66048AA6" w:rsidR="00A8538E" w:rsidRDefault="00A6768D">
      <w:pPr>
        <w:ind w:left="-5" w:right="0"/>
        <w:rPr>
          <w:i/>
          <w:color w:val="auto"/>
        </w:rPr>
      </w:pPr>
      <w:r>
        <w:t xml:space="preserve">Le coût de réalisation est réputé établi sur la base des conditions économiques du mois Mo correspondant au mois de « la consultation » </w:t>
      </w:r>
      <w:r>
        <w:rPr>
          <w:i/>
        </w:rPr>
        <w:t>(voir indication sur la 1ère page</w:t>
      </w:r>
      <w:r w:rsidR="00A361A9">
        <w:rPr>
          <w:i/>
        </w:rPr>
        <w:t xml:space="preserve"> du </w:t>
      </w:r>
      <w:r w:rsidR="00A361A9" w:rsidRPr="005851FE">
        <w:rPr>
          <w:i/>
          <w:color w:val="auto"/>
        </w:rPr>
        <w:t>règlement de consultation</w:t>
      </w:r>
      <w:r w:rsidRPr="005851FE">
        <w:rPr>
          <w:i/>
          <w:color w:val="auto"/>
        </w:rPr>
        <w:t xml:space="preserve"> </w:t>
      </w:r>
    </w:p>
    <w:p w14:paraId="5747E7C2" w14:textId="77777777" w:rsidR="000632EA" w:rsidRDefault="000632EA">
      <w:pPr>
        <w:ind w:left="-5" w:right="0"/>
        <w:rPr>
          <w:i/>
          <w:color w:val="auto"/>
        </w:rPr>
      </w:pPr>
    </w:p>
    <w:p w14:paraId="2540AB7E" w14:textId="3701BDE2" w:rsidR="00A8538E" w:rsidRPr="005851FE" w:rsidRDefault="00A6768D" w:rsidP="005851FE">
      <w:pPr>
        <w:spacing w:after="0" w:line="259" w:lineRule="auto"/>
        <w:ind w:left="0" w:right="0" w:firstLine="0"/>
        <w:jc w:val="left"/>
        <w:rPr>
          <w:u w:val="single"/>
        </w:rPr>
      </w:pPr>
      <w:r w:rsidRPr="005851FE">
        <w:rPr>
          <w:u w:val="single"/>
        </w:rPr>
        <w:t xml:space="preserve">Article 6-3 Tolérance sur le coût de réalisation des travaux </w:t>
      </w:r>
    </w:p>
    <w:p w14:paraId="3CFFD0A6" w14:textId="77777777" w:rsidR="00A8538E" w:rsidRDefault="00A6768D">
      <w:pPr>
        <w:spacing w:after="11" w:line="259" w:lineRule="auto"/>
        <w:ind w:left="0" w:right="0" w:firstLine="0"/>
        <w:jc w:val="left"/>
      </w:pPr>
      <w:r>
        <w:t xml:space="preserve"> </w:t>
      </w:r>
    </w:p>
    <w:p w14:paraId="3CF43BE8" w14:textId="2804D3FB" w:rsidR="00A8538E" w:rsidRDefault="00A6768D">
      <w:pPr>
        <w:ind w:left="-5" w:right="0"/>
      </w:pPr>
      <w:r>
        <w:t xml:space="preserve">Le coût de réalisation des travaux est assorti d’un taux de tolérance. Ce taux de tolérance est de </w:t>
      </w:r>
      <w:r w:rsidR="000632EA" w:rsidRPr="000632EA">
        <w:rPr>
          <w:color w:val="auto"/>
        </w:rPr>
        <w:t>3</w:t>
      </w:r>
      <w:r w:rsidRPr="000632EA">
        <w:rPr>
          <w:color w:val="auto"/>
        </w:rPr>
        <w:t xml:space="preserve"> </w:t>
      </w:r>
      <w:r>
        <w:t xml:space="preserve">%.  </w:t>
      </w:r>
    </w:p>
    <w:p w14:paraId="00AB17B0" w14:textId="77777777" w:rsidR="00A8538E" w:rsidRDefault="00A6768D">
      <w:pPr>
        <w:spacing w:after="0" w:line="259" w:lineRule="auto"/>
        <w:ind w:left="0" w:right="0" w:firstLine="0"/>
        <w:jc w:val="left"/>
      </w:pPr>
      <w:r>
        <w:rPr>
          <w:sz w:val="24"/>
        </w:rPr>
        <w:t xml:space="preserve"> </w:t>
      </w:r>
    </w:p>
    <w:p w14:paraId="3EB87DB3" w14:textId="77777777" w:rsidR="00A8538E" w:rsidRDefault="00A6768D">
      <w:pPr>
        <w:pStyle w:val="Titre2"/>
        <w:ind w:left="-5"/>
      </w:pPr>
      <w:bookmarkStart w:id="38" w:name="_Toc513628520"/>
      <w:r>
        <w:lastRenderedPageBreak/>
        <w:t>Article 6-4 Seuil de tolérance sur le coût de réalisation des travaux</w:t>
      </w:r>
      <w:bookmarkEnd w:id="38"/>
      <w:r>
        <w:rPr>
          <w:u w:val="none"/>
        </w:rPr>
        <w:t xml:space="preserve"> </w:t>
      </w:r>
    </w:p>
    <w:p w14:paraId="46BB0FCC" w14:textId="77777777" w:rsidR="00A8538E" w:rsidRDefault="00A6768D">
      <w:pPr>
        <w:spacing w:after="0" w:line="259" w:lineRule="auto"/>
        <w:ind w:left="0" w:right="0" w:firstLine="0"/>
        <w:jc w:val="left"/>
      </w:pPr>
      <w:r>
        <w:t xml:space="preserve"> </w:t>
      </w:r>
    </w:p>
    <w:p w14:paraId="1159ED43" w14:textId="77777777" w:rsidR="00A8538E" w:rsidRDefault="00A6768D">
      <w:pPr>
        <w:ind w:left="-5" w:right="0"/>
      </w:pPr>
      <w:r>
        <w:t xml:space="preserve">Le seuil de tolérance est égal au coût de réalisation des travaux majoré du produit de ce coût par le taux de tolérance indiqué à l’article 6-3 </w:t>
      </w:r>
    </w:p>
    <w:p w14:paraId="41EFE940" w14:textId="77777777" w:rsidR="00A8538E" w:rsidRDefault="00A6768D">
      <w:pPr>
        <w:spacing w:after="0" w:line="259" w:lineRule="auto"/>
        <w:ind w:left="0" w:right="0" w:firstLine="0"/>
        <w:jc w:val="left"/>
      </w:pPr>
      <w:r>
        <w:t xml:space="preserve"> </w:t>
      </w:r>
    </w:p>
    <w:p w14:paraId="2BD401C9" w14:textId="77777777" w:rsidR="00A8538E" w:rsidRDefault="00A6768D">
      <w:pPr>
        <w:pStyle w:val="Titre2"/>
        <w:ind w:left="-5"/>
      </w:pPr>
      <w:bookmarkStart w:id="39" w:name="_Toc513628521"/>
      <w:r>
        <w:t>Article 6-5 Comparaison entre réalité et tolérance</w:t>
      </w:r>
      <w:bookmarkEnd w:id="39"/>
      <w:r>
        <w:rPr>
          <w:u w:val="none"/>
        </w:rPr>
        <w:t xml:space="preserve"> </w:t>
      </w:r>
    </w:p>
    <w:p w14:paraId="7F554512" w14:textId="77777777" w:rsidR="00A8538E" w:rsidRDefault="00A6768D">
      <w:pPr>
        <w:spacing w:after="3" w:line="259" w:lineRule="auto"/>
        <w:ind w:left="0" w:right="0" w:firstLine="0"/>
        <w:jc w:val="left"/>
      </w:pPr>
      <w:r>
        <w:t xml:space="preserve"> </w:t>
      </w:r>
    </w:p>
    <w:p w14:paraId="0547C791" w14:textId="77777777" w:rsidR="00A8538E" w:rsidRDefault="00A6768D">
      <w:pPr>
        <w:ind w:left="-5" w:right="0"/>
        <w:jc w:val="left"/>
      </w:pPr>
      <w:r>
        <w:t>Le coût constaté déterminé par les maître</w:t>
      </w:r>
      <w:r w:rsidR="00D21FED">
        <w:t>s</w:t>
      </w:r>
      <w:r>
        <w:t xml:space="preserve"> d’ouvrage après achèvement de l’ouvrage est le montant, en prix de base, des travaux réellement exécutés dans le cadre des contrats, marchés, avenants, commandes hors marchés intervenus pour la réalisation de l’ouvrage et hors révisions de prix. </w:t>
      </w:r>
    </w:p>
    <w:p w14:paraId="2DBFBB40" w14:textId="77777777" w:rsidR="00A8538E" w:rsidRDefault="00A6768D">
      <w:pPr>
        <w:spacing w:after="0" w:line="259" w:lineRule="auto"/>
        <w:ind w:left="0" w:right="0" w:firstLine="0"/>
        <w:jc w:val="left"/>
      </w:pPr>
      <w:r>
        <w:rPr>
          <w:sz w:val="24"/>
        </w:rPr>
        <w:t xml:space="preserve"> </w:t>
      </w:r>
    </w:p>
    <w:p w14:paraId="2F7F5B38" w14:textId="77777777" w:rsidR="00A8538E" w:rsidRDefault="00A6768D">
      <w:pPr>
        <w:pStyle w:val="Titre2"/>
        <w:ind w:left="-5"/>
      </w:pPr>
      <w:bookmarkStart w:id="40" w:name="_Toc513628522"/>
      <w:r>
        <w:t>Article 6-6 Pénalités pour dépassement du seuil de tolérance</w:t>
      </w:r>
      <w:bookmarkEnd w:id="40"/>
      <w:r>
        <w:rPr>
          <w:u w:val="none"/>
        </w:rPr>
        <w:t xml:space="preserve"> </w:t>
      </w:r>
    </w:p>
    <w:p w14:paraId="43DB4C6F" w14:textId="77777777" w:rsidR="00A8538E" w:rsidRDefault="00A6768D">
      <w:pPr>
        <w:spacing w:after="0" w:line="259" w:lineRule="auto"/>
        <w:ind w:left="0" w:right="0" w:firstLine="0"/>
        <w:jc w:val="left"/>
      </w:pPr>
      <w:r>
        <w:t xml:space="preserve"> </w:t>
      </w:r>
    </w:p>
    <w:p w14:paraId="4F10170A" w14:textId="29279AEB" w:rsidR="00A8538E" w:rsidRDefault="00A6768D">
      <w:pPr>
        <w:ind w:left="-5" w:right="0"/>
      </w:pPr>
      <w:r>
        <w:t xml:space="preserve">Si le coût constaté est supérieur au seuil de tolérance tel que défini à l’article 6-3, le concepteur supporte une pénalité égale à la différence entre le coût constaté et le seuil de tolérance multiplié par le taux défini ci-après. Ce taux est égal au taux de rémunération fixé à l’article </w:t>
      </w:r>
      <w:r w:rsidR="00A361A9">
        <w:t>2</w:t>
      </w:r>
      <w:r>
        <w:t xml:space="preserve"> de l’acte d’engagement multiplié par 2. Cependant, le montant de cette pénalité ne pourra excéder 15 % du montant de la rémunération des éléments postérieurs à l’attribution des marchés de travaux. </w:t>
      </w:r>
    </w:p>
    <w:p w14:paraId="3750B6DF" w14:textId="77777777" w:rsidR="00A8538E" w:rsidRDefault="00A6768D">
      <w:pPr>
        <w:spacing w:after="0" w:line="259" w:lineRule="auto"/>
        <w:ind w:left="0" w:right="0" w:firstLine="0"/>
        <w:jc w:val="left"/>
      </w:pPr>
      <w:r>
        <w:t xml:space="preserve"> </w:t>
      </w:r>
    </w:p>
    <w:p w14:paraId="4D045074" w14:textId="4C9E71C2" w:rsidR="00A8538E" w:rsidRDefault="00A6768D" w:rsidP="000632EA">
      <w:pPr>
        <w:spacing w:after="0" w:line="259" w:lineRule="auto"/>
        <w:ind w:left="0" w:right="0" w:firstLine="0"/>
        <w:jc w:val="left"/>
      </w:pPr>
      <w:r>
        <w:t xml:space="preserve"> </w: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4E06E9FF" wp14:editId="7A4BBCBE">
                <wp:simplePos x="0" y="0"/>
                <wp:positionH relativeFrom="column">
                  <wp:posOffset>0</wp:posOffset>
                </wp:positionH>
                <wp:positionV relativeFrom="paragraph">
                  <wp:posOffset>154686</wp:posOffset>
                </wp:positionV>
                <wp:extent cx="2347595" cy="10668"/>
                <wp:effectExtent l="0" t="0" r="0" b="0"/>
                <wp:wrapNone/>
                <wp:docPr id="39305" name="Group 39305"/>
                <wp:cNvGraphicFramePr/>
                <a:graphic xmlns:a="http://schemas.openxmlformats.org/drawingml/2006/main">
                  <a:graphicData uri="http://schemas.microsoft.com/office/word/2010/wordprocessingGroup">
                    <wpg:wgp>
                      <wpg:cNvGrpSpPr/>
                      <wpg:grpSpPr>
                        <a:xfrm>
                          <a:off x="0" y="0"/>
                          <a:ext cx="2347595" cy="10668"/>
                          <a:chOff x="0" y="0"/>
                          <a:chExt cx="2347595" cy="10668"/>
                        </a:xfrm>
                      </wpg:grpSpPr>
                      <wps:wsp>
                        <wps:cNvPr id="43255" name="Shape 43255"/>
                        <wps:cNvSpPr/>
                        <wps:spPr>
                          <a:xfrm>
                            <a:off x="0" y="0"/>
                            <a:ext cx="2347595" cy="10668"/>
                          </a:xfrm>
                          <a:custGeom>
                            <a:avLst/>
                            <a:gdLst/>
                            <a:ahLst/>
                            <a:cxnLst/>
                            <a:rect l="0" t="0" r="0" b="0"/>
                            <a:pathLst>
                              <a:path w="2347595" h="10668">
                                <a:moveTo>
                                  <a:pt x="0" y="0"/>
                                </a:moveTo>
                                <a:lnTo>
                                  <a:pt x="2347595" y="0"/>
                                </a:lnTo>
                                <a:lnTo>
                                  <a:pt x="234759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305" style="width:184.85pt;height:0.840027pt;position:absolute;z-index:29;mso-position-horizontal-relative:text;mso-position-horizontal:absolute;margin-left:0pt;mso-position-vertical-relative:text;margin-top:12.18pt;" coordsize="23475,106">
                <v:shape id="Shape 43256" style="position:absolute;width:23475;height:106;left:0;top:0;" coordsize="2347595,10668" path="m0,0l2347595,0l2347595,10668l0,10668l0,0">
                  <v:stroke weight="0pt" endcap="flat" joinstyle="miter" miterlimit="10" on="false" color="#000000" opacity="0"/>
                  <v:fill on="true" color="#000000"/>
                </v:shape>
              </v:group>
            </w:pict>
          </mc:Fallback>
        </mc:AlternateContent>
      </w:r>
      <w:r>
        <w:t xml:space="preserve">6-7 Mesures conservatoires </w:t>
      </w:r>
    </w:p>
    <w:p w14:paraId="398F404B" w14:textId="77777777" w:rsidR="00A8538E" w:rsidRDefault="00A6768D">
      <w:pPr>
        <w:spacing w:after="0" w:line="259" w:lineRule="auto"/>
        <w:ind w:left="0" w:right="0" w:firstLine="0"/>
        <w:jc w:val="left"/>
      </w:pPr>
      <w:r>
        <w:t xml:space="preserve"> </w:t>
      </w:r>
    </w:p>
    <w:p w14:paraId="47A24208" w14:textId="77777777" w:rsidR="00A8538E" w:rsidRDefault="00A6768D">
      <w:pPr>
        <w:ind w:left="-5" w:right="0"/>
      </w:pPr>
      <w:r>
        <w:t xml:space="preserve">Si en cours d’exécution de travaux, le coût de réalisation des ouvrages augmenté du coût des travaux non prévus (hors travaux modificatifs) dépasse le seuil de tolérance défini à l’article 6-3, des retenues intermédiaires peuvent être appliquées à la diligence des maîtres d’ouvrage par fractions réparties sur les décomptes correspondants aux éléments de mission précédemment cités. </w:t>
      </w:r>
    </w:p>
    <w:p w14:paraId="59B603DD" w14:textId="77777777" w:rsidR="000632EA" w:rsidRDefault="00A6768D" w:rsidP="000632EA">
      <w:pPr>
        <w:spacing w:after="0" w:line="259" w:lineRule="auto"/>
        <w:ind w:left="0" w:right="0" w:firstLine="0"/>
        <w:jc w:val="left"/>
      </w:pPr>
      <w:r>
        <w:t xml:space="preserve"> </w:t>
      </w:r>
    </w:p>
    <w:p w14:paraId="019F6028" w14:textId="36BF095B" w:rsidR="000632EA" w:rsidRPr="00930E25" w:rsidRDefault="00A6768D" w:rsidP="000632EA">
      <w:pPr>
        <w:spacing w:after="0" w:line="259" w:lineRule="auto"/>
        <w:ind w:left="0" w:right="0" w:firstLine="0"/>
        <w:jc w:val="left"/>
        <w:rPr>
          <w:u w:val="single"/>
        </w:rPr>
      </w:pPr>
      <w:r w:rsidRPr="00930E25">
        <w:rPr>
          <w:u w:val="single"/>
        </w:rPr>
        <w:t xml:space="preserve">Article 6-8 Ordres de service </w:t>
      </w:r>
    </w:p>
    <w:p w14:paraId="2525679D" w14:textId="77777777" w:rsidR="000632EA" w:rsidRDefault="000632EA" w:rsidP="000632EA">
      <w:pPr>
        <w:pStyle w:val="Titre2"/>
        <w:ind w:left="-5"/>
      </w:pPr>
    </w:p>
    <w:p w14:paraId="241ADAF9" w14:textId="1727B67B" w:rsidR="00A8538E" w:rsidRDefault="000632EA" w:rsidP="000632EA">
      <w:pPr>
        <w:spacing w:after="13" w:line="259" w:lineRule="auto"/>
        <w:ind w:left="0" w:right="0" w:firstLine="0"/>
        <w:jc w:val="left"/>
      </w:pPr>
      <w:r>
        <w:t>D</w:t>
      </w:r>
      <w:r w:rsidR="00A6768D">
        <w:t xml:space="preserve">ans le cadre de l’élément de mission « Direction de l’exécution des travaux » (DET), le maître d’œuvre est chargé d’émettre tous les ordres de service à destination de chaque entrepreneur.  </w:t>
      </w:r>
    </w:p>
    <w:p w14:paraId="354F4BAA" w14:textId="77777777" w:rsidR="00A8538E" w:rsidRDefault="00A6768D">
      <w:pPr>
        <w:ind w:left="-5" w:right="0"/>
      </w:pPr>
      <w:r>
        <w:lastRenderedPageBreak/>
        <w:t xml:space="preserve">Les ordres de service doivent être écrits, signés, datés et numérotés, adressés à chaque entrepreneur avec copie aux maitres d’ouvrage dans un délai de 10 jours dans les conditions précisées à l’article 3.8 du C.C.A.G.-Travaux.  </w:t>
      </w:r>
    </w:p>
    <w:p w14:paraId="3E167DFE" w14:textId="77777777" w:rsidR="00A8538E" w:rsidRDefault="00A6768D">
      <w:pPr>
        <w:ind w:left="-5" w:right="0"/>
      </w:pPr>
      <w:r>
        <w:t xml:space="preserve">La carence constatée du maître d’œuvre dans la notification des ordres de service l’expose à l’application d’une pénalité dont le taux, par jour calendaire de retard -compris entre la date où l’ordre de service aurait dû être délivré et celle où il l’a réellement été, est fixée à 1/3000 du montant du marché de travaux concerné.  </w:t>
      </w:r>
    </w:p>
    <w:p w14:paraId="7FEC4CD1" w14:textId="77777777" w:rsidR="00A8538E" w:rsidRDefault="00A6768D">
      <w:pPr>
        <w:ind w:left="-5" w:right="0"/>
      </w:pPr>
      <w:r>
        <w:t xml:space="preserve">Par dérogation à l’article 14.3 du CCAG-PI, le prestataire n’est exonéré d’aucune pénalité.  </w:t>
      </w:r>
    </w:p>
    <w:p w14:paraId="274BDC12" w14:textId="77777777" w:rsidR="00A8538E" w:rsidRDefault="00A6768D">
      <w:pPr>
        <w:ind w:left="-5" w:right="0"/>
      </w:pPr>
      <w:r>
        <w:t xml:space="preserve">Cependant, en aucun cas, le maître d’œuvre ne peut notifier des ordres de service relatifs :  </w:t>
      </w:r>
    </w:p>
    <w:p w14:paraId="244678FB" w14:textId="77777777" w:rsidR="00A8538E" w:rsidRDefault="00A6768D">
      <w:pPr>
        <w:numPr>
          <w:ilvl w:val="0"/>
          <w:numId w:val="10"/>
        </w:numPr>
        <w:ind w:right="0" w:hanging="137"/>
      </w:pPr>
      <w:proofErr w:type="gramStart"/>
      <w:r>
        <w:t>à</w:t>
      </w:r>
      <w:proofErr w:type="gramEnd"/>
      <w:r>
        <w:t xml:space="preserve"> la notification de la date de commencement des travaux ;  </w:t>
      </w:r>
    </w:p>
    <w:p w14:paraId="3E9BF1E0" w14:textId="77777777" w:rsidR="00A8538E" w:rsidRDefault="00A6768D">
      <w:pPr>
        <w:numPr>
          <w:ilvl w:val="0"/>
          <w:numId w:val="10"/>
        </w:numPr>
        <w:ind w:right="0" w:hanging="137"/>
      </w:pPr>
      <w:proofErr w:type="gramStart"/>
      <w:r>
        <w:t>au</w:t>
      </w:r>
      <w:proofErr w:type="gramEnd"/>
      <w:r>
        <w:t xml:space="preserve"> passage à l’exécution d’une tranche conditionnelle ;  </w:t>
      </w:r>
    </w:p>
    <w:p w14:paraId="7F9AFD28" w14:textId="77777777" w:rsidR="00A8538E" w:rsidRDefault="00A6768D">
      <w:pPr>
        <w:numPr>
          <w:ilvl w:val="0"/>
          <w:numId w:val="10"/>
        </w:numPr>
        <w:ind w:right="0" w:hanging="137"/>
      </w:pPr>
      <w:proofErr w:type="gramStart"/>
      <w:r>
        <w:t>à</w:t>
      </w:r>
      <w:proofErr w:type="gramEnd"/>
      <w:r>
        <w:t xml:space="preserve"> la notification de prix nouveaux aux entrepreneurs pour des ouvrages ou travaux non prévus.  </w:t>
      </w:r>
    </w:p>
    <w:p w14:paraId="77EEDF1D" w14:textId="77777777" w:rsidR="00A8538E" w:rsidRDefault="00A6768D">
      <w:pPr>
        <w:spacing w:after="0" w:line="259" w:lineRule="auto"/>
        <w:ind w:left="0" w:right="0" w:firstLine="0"/>
        <w:jc w:val="left"/>
      </w:pPr>
      <w:r>
        <w:t xml:space="preserve"> </w:t>
      </w:r>
    </w:p>
    <w:p w14:paraId="21F257D8" w14:textId="77777777" w:rsidR="00A8538E" w:rsidRDefault="00A6768D">
      <w:pPr>
        <w:ind w:left="-5" w:right="0"/>
      </w:pPr>
      <w:r>
        <w:t xml:space="preserve">Les ordres de service doivent être remis aux maîtres d’ouvrage au fur et à mesure de leur délivrance. </w:t>
      </w:r>
    </w:p>
    <w:p w14:paraId="6920BA21" w14:textId="77777777" w:rsidR="00A8538E" w:rsidRDefault="00A6768D">
      <w:pPr>
        <w:spacing w:after="30" w:line="259" w:lineRule="auto"/>
        <w:ind w:left="0" w:right="0" w:firstLine="0"/>
        <w:jc w:val="left"/>
      </w:pPr>
      <w:r>
        <w:t xml:space="preserve"> </w:t>
      </w:r>
    </w:p>
    <w:p w14:paraId="27917AD4" w14:textId="77777777" w:rsidR="00A8538E" w:rsidRDefault="00A6768D">
      <w:pPr>
        <w:pStyle w:val="Titre2"/>
        <w:ind w:left="-5"/>
      </w:pPr>
      <w:bookmarkStart w:id="41" w:name="_Toc513628523"/>
      <w:r>
        <w:t>Article 6-9 Protection de la main d’œuvre et conditions de travail</w:t>
      </w:r>
      <w:bookmarkEnd w:id="41"/>
      <w:r>
        <w:rPr>
          <w:u w:val="none"/>
        </w:rPr>
        <w:t xml:space="preserve"> </w:t>
      </w:r>
    </w:p>
    <w:p w14:paraId="1321CDA4" w14:textId="77777777" w:rsidR="00A8538E" w:rsidRDefault="00A6768D">
      <w:pPr>
        <w:spacing w:after="0" w:line="259" w:lineRule="auto"/>
        <w:ind w:left="0" w:right="0" w:firstLine="0"/>
        <w:jc w:val="left"/>
      </w:pPr>
      <w:r>
        <w:rPr>
          <w:b/>
          <w:sz w:val="24"/>
        </w:rPr>
        <w:t xml:space="preserve"> </w:t>
      </w:r>
    </w:p>
    <w:p w14:paraId="12DAD004" w14:textId="77777777" w:rsidR="00A8538E" w:rsidRDefault="00A6768D">
      <w:pPr>
        <w:ind w:left="-5" w:right="0"/>
      </w:pPr>
      <w:r>
        <w:t xml:space="preserve">Conformément à l’article 6 du C.C.A.G.-P.I., le titulaire assure le rôle qui lui est imparti par la réglementation en vigueur en matière de protection de la main d’œuvre, d’hygiène, de conditions de travail et de sécurité sur le chantier. </w:t>
      </w:r>
    </w:p>
    <w:p w14:paraId="6F6AEF35" w14:textId="77777777" w:rsidR="00A8538E" w:rsidRDefault="00A6768D">
      <w:pPr>
        <w:spacing w:after="25" w:line="259" w:lineRule="auto"/>
        <w:ind w:left="0" w:right="0" w:firstLine="0"/>
        <w:jc w:val="left"/>
      </w:pPr>
      <w:r>
        <w:t xml:space="preserve"> </w:t>
      </w:r>
    </w:p>
    <w:p w14:paraId="7467C893" w14:textId="77777777" w:rsidR="00A8538E" w:rsidRDefault="00A6768D">
      <w:pPr>
        <w:pStyle w:val="Titre2"/>
        <w:ind w:left="-5"/>
      </w:pPr>
      <w:bookmarkStart w:id="42" w:name="_Toc513628524"/>
      <w:r>
        <w:t>Article 6-10 Suivi de l’exécution des travaux</w:t>
      </w:r>
      <w:bookmarkEnd w:id="42"/>
      <w:r>
        <w:rPr>
          <w:u w:val="none"/>
        </w:rPr>
        <w:t xml:space="preserve"> </w:t>
      </w:r>
    </w:p>
    <w:p w14:paraId="4C86A736" w14:textId="77777777" w:rsidR="00A8538E" w:rsidRDefault="00A6768D">
      <w:pPr>
        <w:spacing w:after="0" w:line="259" w:lineRule="auto"/>
        <w:ind w:left="0" w:right="0" w:firstLine="0"/>
        <w:jc w:val="left"/>
      </w:pPr>
      <w:r>
        <w:t xml:space="preserve"> </w:t>
      </w:r>
    </w:p>
    <w:p w14:paraId="64C9AD8A" w14:textId="77777777" w:rsidR="00A8538E" w:rsidRDefault="00A6768D">
      <w:pPr>
        <w:ind w:left="-5" w:right="0"/>
      </w:pPr>
      <w:r>
        <w:t xml:space="preserve">La direction de l’exécution des travaux incombe au maître d’œuvre qui est l’unique responsable du contrôle de l’exécution des ouvrages et qui est l’unique interlocuteur des entrepreneurs. Il est tenu de faire respecter par l’entreprise l’ensemble des stipulations du marché de travaux et ne peut y apporter aucune modification.  </w:t>
      </w:r>
    </w:p>
    <w:p w14:paraId="281368B1" w14:textId="77777777" w:rsidR="00A8538E" w:rsidRDefault="00A6768D">
      <w:pPr>
        <w:spacing w:after="11" w:line="259" w:lineRule="auto"/>
        <w:ind w:left="0" w:right="0" w:firstLine="0"/>
        <w:jc w:val="left"/>
      </w:pPr>
      <w:r>
        <w:t xml:space="preserve"> </w:t>
      </w:r>
    </w:p>
    <w:p w14:paraId="0BA414D0" w14:textId="77777777" w:rsidR="00A8538E" w:rsidRDefault="00A6768D">
      <w:pPr>
        <w:ind w:left="-5" w:right="0"/>
      </w:pPr>
      <w:r>
        <w:t xml:space="preserve">Préalablement à chaque intervention des entreprises, le maître d’œuvre procédera à l’implantation des ouvrages et vérifiera, le cas échéant, que le bornage de l’emprise des ouvrages à réaliser est conforme au plan d’aménagement foncier. Dans le cas où les bornages réalisés dans le cadre de l’aménagement foncier auraient été déplacés ou supprimés par une tierce personne depuis leur implantation initiale, le maître d’œuvre procédera à un piquetage permettant de les reconstituer pendant la durée des travaux afin qu’à tout moment les entreprises puissent être en mesure de visualiser sur le terrain les limites des propriétés </w:t>
      </w:r>
      <w:r>
        <w:lastRenderedPageBreak/>
        <w:t xml:space="preserve">sur lesquelles se place leur intervention. En l’absence d’un piquetage préalable, tout dommage ou dégradation à des biens provoqué par le stockage de matériaux, par le passage ou le stationnement d’engins utilisés par les entreprises en dehors des emprises réservées à la réalisation desdits ouvrages sera de la responsabilité du maître d’œuvre et ne pourra être reporté sur les maîtres d’ouvrage. </w:t>
      </w:r>
    </w:p>
    <w:p w14:paraId="30BF201E" w14:textId="77777777" w:rsidR="00A8538E" w:rsidRDefault="00A6768D">
      <w:pPr>
        <w:spacing w:after="0" w:line="259" w:lineRule="auto"/>
        <w:ind w:left="0" w:right="0" w:firstLine="0"/>
        <w:jc w:val="left"/>
      </w:pPr>
      <w:r>
        <w:t xml:space="preserve"> </w:t>
      </w:r>
    </w:p>
    <w:p w14:paraId="2F3FED5A" w14:textId="77777777" w:rsidR="00A8538E" w:rsidRDefault="00A6768D">
      <w:pPr>
        <w:ind w:left="-5" w:right="0"/>
      </w:pPr>
      <w:r>
        <w:t xml:space="preserve">Préalablement à la réception des travaux et dans le cas où lors de leur exécution, les bornages parcellaires de l’aménagement foncier auraient été supprimés, que cette suppression soit accidentelle ou qu’elle n’ait pu être évité en raison de la nature desdits travaux, le maître d’œuvre fera procéder à un nouveau bornage par un Géomètre-Expert afin de reconstituer la matérialité de toutes les délimitations parcellaires telles qu’elles sont issues de l’aménagement foncier. </w:t>
      </w:r>
    </w:p>
    <w:p w14:paraId="42814FFD" w14:textId="77777777" w:rsidR="00A8538E" w:rsidRDefault="00A6768D">
      <w:pPr>
        <w:spacing w:after="0" w:line="259" w:lineRule="auto"/>
        <w:ind w:left="0" w:right="0" w:firstLine="0"/>
        <w:jc w:val="left"/>
      </w:pPr>
      <w:r>
        <w:rPr>
          <w:b/>
        </w:rPr>
        <w:t xml:space="preserve"> </w:t>
      </w:r>
    </w:p>
    <w:p w14:paraId="75E682E2" w14:textId="77777777" w:rsidR="00A8538E" w:rsidRDefault="00A6768D">
      <w:pPr>
        <w:spacing w:after="0" w:line="259" w:lineRule="auto"/>
        <w:ind w:left="0" w:right="0" w:firstLine="0"/>
        <w:jc w:val="left"/>
      </w:pPr>
      <w:r>
        <w:t xml:space="preserve"> </w:t>
      </w:r>
    </w:p>
    <w:bookmarkStart w:id="43" w:name="_Toc513628525"/>
    <w:p w14:paraId="27382079" w14:textId="77777777" w:rsidR="00A8538E" w:rsidRPr="00930E25" w:rsidRDefault="00A6768D" w:rsidP="00930E25">
      <w:pPr>
        <w:pStyle w:val="Titre2"/>
        <w:rPr>
          <w:u w:val="none"/>
        </w:rPr>
      </w:pPr>
      <w:r w:rsidRPr="00930E25">
        <w:rPr>
          <w:noProof/>
          <w:u w:val="none"/>
        </w:rPr>
        <mc:AlternateContent>
          <mc:Choice Requires="wpg">
            <w:drawing>
              <wp:anchor distT="0" distB="0" distL="114300" distR="114300" simplePos="0" relativeHeight="251660288" behindDoc="0" locked="0" layoutInCell="1" allowOverlap="1" wp14:anchorId="4694AE73" wp14:editId="50F53B22">
                <wp:simplePos x="0" y="0"/>
                <wp:positionH relativeFrom="column">
                  <wp:posOffset>0</wp:posOffset>
                </wp:positionH>
                <wp:positionV relativeFrom="paragraph">
                  <wp:posOffset>154686</wp:posOffset>
                </wp:positionV>
                <wp:extent cx="2381123" cy="10668"/>
                <wp:effectExtent l="0" t="0" r="0" b="0"/>
                <wp:wrapNone/>
                <wp:docPr id="39586" name="Group 39586"/>
                <wp:cNvGraphicFramePr/>
                <a:graphic xmlns:a="http://schemas.openxmlformats.org/drawingml/2006/main">
                  <a:graphicData uri="http://schemas.microsoft.com/office/word/2010/wordprocessingGroup">
                    <wpg:wgp>
                      <wpg:cNvGrpSpPr/>
                      <wpg:grpSpPr>
                        <a:xfrm>
                          <a:off x="0" y="0"/>
                          <a:ext cx="2381123" cy="10668"/>
                          <a:chOff x="0" y="0"/>
                          <a:chExt cx="2381123" cy="10668"/>
                        </a:xfrm>
                      </wpg:grpSpPr>
                      <wps:wsp>
                        <wps:cNvPr id="43257" name="Shape 43257"/>
                        <wps:cNvSpPr/>
                        <wps:spPr>
                          <a:xfrm>
                            <a:off x="0" y="0"/>
                            <a:ext cx="2381123" cy="10668"/>
                          </a:xfrm>
                          <a:custGeom>
                            <a:avLst/>
                            <a:gdLst/>
                            <a:ahLst/>
                            <a:cxnLst/>
                            <a:rect l="0" t="0" r="0" b="0"/>
                            <a:pathLst>
                              <a:path w="2381123" h="10668">
                                <a:moveTo>
                                  <a:pt x="0" y="0"/>
                                </a:moveTo>
                                <a:lnTo>
                                  <a:pt x="2381123" y="0"/>
                                </a:lnTo>
                                <a:lnTo>
                                  <a:pt x="238112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586" style="width:187.49pt;height:0.840027pt;position:absolute;z-index:30;mso-position-horizontal-relative:text;mso-position-horizontal:absolute;margin-left:0pt;mso-position-vertical-relative:text;margin-top:12.18pt;" coordsize="23811,106">
                <v:shape id="Shape 43258" style="position:absolute;width:23811;height:106;left:0;top:0;" coordsize="2381123,10668" path="m0,0l2381123,0l2381123,10668l0,10668l0,0">
                  <v:stroke weight="0pt" endcap="flat" joinstyle="miter" miterlimit="10" on="false" color="#000000" opacity="0"/>
                  <v:fill on="true" color="#000000"/>
                </v:shape>
              </v:group>
            </w:pict>
          </mc:Fallback>
        </mc:AlternateContent>
      </w:r>
      <w:r w:rsidRPr="00930E25">
        <w:rPr>
          <w:u w:val="none"/>
        </w:rPr>
        <w:t>6-11 Utilisation des résultats</w:t>
      </w:r>
      <w:bookmarkEnd w:id="43"/>
      <w:r w:rsidRPr="00930E25">
        <w:rPr>
          <w:u w:val="none"/>
        </w:rPr>
        <w:t xml:space="preserve"> </w:t>
      </w:r>
    </w:p>
    <w:p w14:paraId="2F428BEA" w14:textId="77777777" w:rsidR="00A8538E" w:rsidRDefault="00A6768D">
      <w:pPr>
        <w:spacing w:after="0" w:line="259" w:lineRule="auto"/>
        <w:ind w:left="0" w:right="0" w:firstLine="0"/>
        <w:jc w:val="left"/>
      </w:pPr>
      <w:r>
        <w:rPr>
          <w:b/>
          <w:sz w:val="24"/>
        </w:rPr>
        <w:t xml:space="preserve"> </w:t>
      </w:r>
    </w:p>
    <w:p w14:paraId="26FE4E33" w14:textId="127828C3" w:rsidR="00A8538E" w:rsidRDefault="00A6768D">
      <w:pPr>
        <w:ind w:left="-5" w:right="0"/>
      </w:pPr>
      <w:r>
        <w:t>L’option retenue concernant l’utilisation des résultats et précisant les droits respectifs du maître de l’ouvrage et du maître d’œuvre en la matière est l’</w:t>
      </w:r>
      <w:r>
        <w:rPr>
          <w:b/>
        </w:rPr>
        <w:t xml:space="preserve">option B </w:t>
      </w:r>
      <w:r>
        <w:t xml:space="preserve">telle que définie à l’article 25 du C.C.A.G.-P.I.  Le titulaire du marché cède, à titre exclusif, l'intégralité des droits ou titres de toute nature afférent aux résultats permettant au pouvoir adjudicateur de les exploiter librement, y compris à des fins commerciales, pour les destinations précisées dans les documents particuliers du marché. </w:t>
      </w:r>
    </w:p>
    <w:p w14:paraId="050ACB3B" w14:textId="77777777" w:rsidR="00A8538E" w:rsidRDefault="00A6768D">
      <w:pPr>
        <w:spacing w:after="26" w:line="259" w:lineRule="auto"/>
        <w:ind w:left="0" w:right="0" w:firstLine="0"/>
        <w:jc w:val="left"/>
      </w:pPr>
      <w:r>
        <w:t xml:space="preserve"> </w:t>
      </w:r>
    </w:p>
    <w:p w14:paraId="0A233B9A" w14:textId="77777777" w:rsidR="00A8538E" w:rsidRDefault="00A6768D">
      <w:pPr>
        <w:pStyle w:val="Titre2"/>
        <w:ind w:left="-5"/>
      </w:pPr>
      <w:bookmarkStart w:id="44" w:name="_Toc513628526"/>
      <w:r>
        <w:t>Article 6-12 Arrêt de l’exécution de la prestation</w:t>
      </w:r>
      <w:bookmarkEnd w:id="44"/>
      <w:r>
        <w:rPr>
          <w:u w:val="none"/>
        </w:rPr>
        <w:t xml:space="preserve"> </w:t>
      </w:r>
    </w:p>
    <w:p w14:paraId="04B23A06" w14:textId="77777777" w:rsidR="00A8538E" w:rsidRDefault="00A6768D">
      <w:pPr>
        <w:spacing w:after="0" w:line="259" w:lineRule="auto"/>
        <w:ind w:left="0" w:right="0" w:firstLine="0"/>
        <w:jc w:val="left"/>
      </w:pPr>
      <w:r>
        <w:rPr>
          <w:sz w:val="24"/>
        </w:rPr>
        <w:t xml:space="preserve"> </w:t>
      </w:r>
    </w:p>
    <w:p w14:paraId="446898B3" w14:textId="77777777" w:rsidR="00A8538E" w:rsidRDefault="00A6768D">
      <w:pPr>
        <w:ind w:left="-5" w:right="0"/>
      </w:pPr>
      <w:r>
        <w:t xml:space="preserve">Conformément à l’article 20 du C.C.A.G.-P.I., les maîtres d’ouvrage se réservent la possibilité d’arrêter l’exécution des prestations au terme de chacune des phases techniques pour chaque élément de mission tel que défini à l’article 1.3 du présent C.C.P. </w:t>
      </w:r>
    </w:p>
    <w:p w14:paraId="7BB6DE6B" w14:textId="77777777" w:rsidR="00A8538E" w:rsidRDefault="00A6768D">
      <w:pPr>
        <w:spacing w:after="0" w:line="259" w:lineRule="auto"/>
        <w:ind w:left="0" w:right="0" w:firstLine="0"/>
        <w:jc w:val="left"/>
      </w:pPr>
      <w:r>
        <w:t xml:space="preserve"> </w:t>
      </w:r>
    </w:p>
    <w:p w14:paraId="317FB572" w14:textId="77777777" w:rsidR="00A8538E" w:rsidRDefault="00A6768D">
      <w:pPr>
        <w:pStyle w:val="Titre2"/>
        <w:ind w:left="-5"/>
      </w:pPr>
      <w:bookmarkStart w:id="45" w:name="_Toc513628527"/>
      <w:r>
        <w:t>Article 6-13 Achèvement de la mission et garanties particulières</w:t>
      </w:r>
      <w:bookmarkEnd w:id="45"/>
      <w:r>
        <w:rPr>
          <w:u w:val="none"/>
        </w:rPr>
        <w:t xml:space="preserve"> </w:t>
      </w:r>
    </w:p>
    <w:p w14:paraId="0B609296" w14:textId="77777777" w:rsidR="00A8538E" w:rsidRDefault="00A6768D">
      <w:pPr>
        <w:spacing w:after="0" w:line="259" w:lineRule="auto"/>
        <w:ind w:left="0" w:right="0" w:firstLine="0"/>
        <w:jc w:val="left"/>
      </w:pPr>
      <w:r>
        <w:t xml:space="preserve"> </w:t>
      </w:r>
    </w:p>
    <w:p w14:paraId="12E43280" w14:textId="23575A86" w:rsidR="00A8538E" w:rsidRDefault="00A6768D">
      <w:pPr>
        <w:spacing w:after="26"/>
        <w:ind w:left="-5" w:right="0"/>
      </w:pPr>
      <w:r>
        <w:t>La mission du maître d’œuvre s’achève à la fin du délai d’un an de «</w:t>
      </w:r>
      <w:r w:rsidR="005851FE">
        <w:t xml:space="preserve"> </w:t>
      </w:r>
      <w:r>
        <w:t xml:space="preserve">Garantie de parfait </w:t>
      </w:r>
      <w:proofErr w:type="gramStart"/>
      <w:r>
        <w:t>achèvement»</w:t>
      </w:r>
      <w:proofErr w:type="gramEnd"/>
      <w:r>
        <w:t xml:space="preserve"> (prévue à l’article 44.1. 2º alinéa du C.C.A.G.-Travaux) ou après prolongation de ce délai si les réserves signalées lors de la réception ne sont pas toutes levées à la fin de cette période. Dans cette hypothèse, </w:t>
      </w:r>
      <w:r>
        <w:lastRenderedPageBreak/>
        <w:t xml:space="preserve">l’achèvement de la mission intervient lors de la levée de la dernière réserve, </w:t>
      </w:r>
      <w:r>
        <w:rPr>
          <w:b/>
        </w:rPr>
        <w:t xml:space="preserve">hors entretien des plantations durant </w:t>
      </w:r>
      <w:r w:rsidR="005851FE" w:rsidRPr="005851FE">
        <w:rPr>
          <w:b/>
          <w:color w:val="auto"/>
        </w:rPr>
        <w:t>2 années</w:t>
      </w:r>
      <w:r w:rsidRPr="005851FE">
        <w:rPr>
          <w:b/>
          <w:color w:val="auto"/>
        </w:rPr>
        <w:t xml:space="preserve"> </w:t>
      </w:r>
      <w:r>
        <w:rPr>
          <w:b/>
        </w:rPr>
        <w:t xml:space="preserve">après leurs plantations </w:t>
      </w:r>
      <w:r>
        <w:t>(garanties particulières).</w:t>
      </w:r>
      <w:r>
        <w:rPr>
          <w:b/>
        </w:rPr>
        <w:t xml:space="preserve"> </w:t>
      </w:r>
      <w:r>
        <w:t xml:space="preserve"> </w:t>
      </w:r>
    </w:p>
    <w:p w14:paraId="3F1E85E7" w14:textId="77777777" w:rsidR="005851FE" w:rsidRDefault="005851FE">
      <w:pPr>
        <w:spacing w:after="26"/>
        <w:ind w:left="-5" w:right="0"/>
      </w:pPr>
    </w:p>
    <w:p w14:paraId="57722035" w14:textId="77777777" w:rsidR="00A8538E" w:rsidRDefault="00A6768D">
      <w:pPr>
        <w:ind w:left="-5" w:right="0"/>
      </w:pPr>
      <w:r>
        <w:t xml:space="preserve">L’achèvement de la mission fera l’objet d’une décision établie sur demande du maître d’œuvre, par les maîtres d’ouvrage, dans les conditions de l’article 27 du C.C.A.G.-P.I. et constatant que le titulaire a rempli toutes ses obligations. </w:t>
      </w:r>
    </w:p>
    <w:p w14:paraId="504A6493" w14:textId="77777777" w:rsidR="00A8538E" w:rsidRDefault="00A6768D">
      <w:pPr>
        <w:spacing w:after="0" w:line="259" w:lineRule="auto"/>
        <w:ind w:left="0" w:right="0" w:firstLine="0"/>
        <w:jc w:val="left"/>
      </w:pPr>
      <w:r>
        <w:t xml:space="preserve"> </w:t>
      </w:r>
    </w:p>
    <w:p w14:paraId="510134A4" w14:textId="77777777" w:rsidR="00A8538E" w:rsidRDefault="00A6768D">
      <w:pPr>
        <w:spacing w:after="14" w:line="259" w:lineRule="auto"/>
        <w:ind w:left="0" w:right="0" w:firstLine="0"/>
        <w:jc w:val="left"/>
      </w:pPr>
      <w:r>
        <w:t xml:space="preserve"> </w:t>
      </w:r>
    </w:p>
    <w:p w14:paraId="364D5E3B" w14:textId="77777777" w:rsidR="00A8538E" w:rsidRDefault="00A6768D">
      <w:pPr>
        <w:pStyle w:val="Titre1"/>
        <w:ind w:left="-5"/>
      </w:pPr>
      <w:bookmarkStart w:id="46" w:name="_Toc513628528"/>
      <w:r>
        <w:t>Article 7 : Résiliation du marché et clauses diverses</w:t>
      </w:r>
      <w:bookmarkEnd w:id="46"/>
      <w:r>
        <w:t xml:space="preserve"> </w:t>
      </w:r>
    </w:p>
    <w:p w14:paraId="5124D16D" w14:textId="77777777" w:rsidR="00A8538E" w:rsidRDefault="00A6768D">
      <w:pPr>
        <w:spacing w:after="0" w:line="259" w:lineRule="auto"/>
        <w:ind w:left="0" w:right="0" w:firstLine="0"/>
        <w:jc w:val="left"/>
      </w:pPr>
      <w:r>
        <w:t xml:space="preserve"> </w:t>
      </w:r>
    </w:p>
    <w:p w14:paraId="0C833431" w14:textId="77777777" w:rsidR="00A8538E" w:rsidRDefault="00A6768D">
      <w:pPr>
        <w:pStyle w:val="Titre2"/>
        <w:ind w:left="-5"/>
      </w:pPr>
      <w:bookmarkStart w:id="47" w:name="_Toc513628529"/>
      <w:r>
        <w:t>Article 7-1 Résiliation du marché</w:t>
      </w:r>
      <w:bookmarkEnd w:id="47"/>
      <w:r>
        <w:rPr>
          <w:u w:val="none"/>
        </w:rPr>
        <w:t xml:space="preserve"> </w:t>
      </w:r>
    </w:p>
    <w:p w14:paraId="2075FD5E" w14:textId="77777777" w:rsidR="00A8538E" w:rsidRDefault="00A6768D">
      <w:pPr>
        <w:spacing w:after="0" w:line="259" w:lineRule="auto"/>
        <w:ind w:left="0" w:right="0" w:firstLine="0"/>
        <w:jc w:val="left"/>
      </w:pPr>
      <w:r>
        <w:t xml:space="preserve"> </w:t>
      </w:r>
    </w:p>
    <w:p w14:paraId="6985B026" w14:textId="77777777" w:rsidR="00A8538E" w:rsidRDefault="00A6768D">
      <w:pPr>
        <w:ind w:left="-5" w:right="0"/>
      </w:pPr>
      <w:r>
        <w:t xml:space="preserve">Les stipulations du CCAG-PI sont applicables. </w:t>
      </w:r>
    </w:p>
    <w:p w14:paraId="48C39A10" w14:textId="77777777" w:rsidR="00A8538E" w:rsidRDefault="00A6768D">
      <w:pPr>
        <w:spacing w:after="0" w:line="259" w:lineRule="auto"/>
        <w:ind w:left="0" w:right="0" w:firstLine="0"/>
        <w:jc w:val="left"/>
      </w:pPr>
      <w:r>
        <w:rPr>
          <w:sz w:val="24"/>
        </w:rPr>
        <w:t xml:space="preserve"> </w:t>
      </w:r>
    </w:p>
    <w:p w14:paraId="12FA461C" w14:textId="77777777" w:rsidR="00A8538E" w:rsidRDefault="00A6768D">
      <w:pPr>
        <w:ind w:left="-5" w:right="0"/>
      </w:pPr>
      <w:r>
        <w:t xml:space="preserve">Lorsque le titulaire ne se conforme pas, soit aux dispositions du présent C.C.P., soit aux ordres de service ou avenants écrits des maîtres d’ouvrage, ce dernier le met en demeure, par lettre recommandée, d'y satisfaire dans un délai qu'il fixe et qui ne peut être inférieur à quinze jours. </w:t>
      </w:r>
    </w:p>
    <w:p w14:paraId="26606209" w14:textId="77777777" w:rsidR="00A8538E" w:rsidRDefault="00A6768D">
      <w:pPr>
        <w:ind w:left="-5" w:right="0"/>
      </w:pPr>
      <w:r>
        <w:t xml:space="preserve">Si le titulaire n'a pas, dans le délai fixé, exécuté les dispositions prescrites, les maîtres d’ouvrage peuvent l'habiliter à résilier le marché. </w:t>
      </w:r>
    </w:p>
    <w:p w14:paraId="5A9DC025" w14:textId="77777777" w:rsidR="00A8538E" w:rsidRDefault="00A6768D">
      <w:pPr>
        <w:spacing w:after="6" w:line="259" w:lineRule="auto"/>
        <w:ind w:left="0" w:right="0" w:firstLine="0"/>
        <w:jc w:val="left"/>
      </w:pPr>
      <w:r>
        <w:t xml:space="preserve"> </w:t>
      </w:r>
    </w:p>
    <w:p w14:paraId="70E13337" w14:textId="77777777" w:rsidR="00A8538E" w:rsidRDefault="00A6768D">
      <w:pPr>
        <w:ind w:left="-5" w:right="0"/>
      </w:pPr>
      <w:r>
        <w:t xml:space="preserve">En cas de décès ou d’incapacité civile du titulaire, les maîtres d’ouvrage peuvent résilier le marché ou accepter sa continuation par les ayants droit ou le curateur. Un avenant de transfert est établi à cette fin. </w:t>
      </w:r>
    </w:p>
    <w:p w14:paraId="0A76B4C7" w14:textId="77777777" w:rsidR="00A8538E" w:rsidRDefault="00A6768D">
      <w:pPr>
        <w:ind w:left="-5" w:right="0"/>
      </w:pPr>
      <w:r>
        <w:t xml:space="preserve">La résiliation, si elle est prononcée, prend effet à la date du décès ou de l’incapacité civile. Elle n’ouvre droit pour le titulaire ou ses ayants droit à aucune indemnité. </w:t>
      </w:r>
    </w:p>
    <w:p w14:paraId="0701EA12" w14:textId="77777777" w:rsidR="00A8538E" w:rsidRDefault="00A6768D">
      <w:pPr>
        <w:ind w:left="-5" w:right="0"/>
      </w:pPr>
      <w:r>
        <w:t xml:space="preserve">En cas d’incapacité physique manifeste et durable du titulaire compromettant la bonne exécution du marché, les maîtres d’ouvrage peuvent résilier le marché. La résiliation n’ouvre droit pour le titulaire à aucune indemnité. </w:t>
      </w:r>
    </w:p>
    <w:p w14:paraId="6F7D7BB8" w14:textId="77777777" w:rsidR="00A8538E" w:rsidRDefault="00A6768D">
      <w:pPr>
        <w:spacing w:after="43" w:line="259" w:lineRule="auto"/>
        <w:ind w:left="0" w:right="0" w:firstLine="0"/>
        <w:jc w:val="left"/>
      </w:pPr>
      <w:r>
        <w:rPr>
          <w:sz w:val="16"/>
        </w:rPr>
        <w:t xml:space="preserve"> </w:t>
      </w:r>
    </w:p>
    <w:p w14:paraId="3C00311D" w14:textId="77777777" w:rsidR="00A8538E" w:rsidRDefault="00A6768D">
      <w:pPr>
        <w:ind w:left="-5" w:right="0"/>
      </w:pPr>
      <w:r>
        <w:t xml:space="preserve">En cas de cessation d’activité, le titulaire devra aviser les maîtres d’ouvrage dans un délai de 6 mois permettant de désigner un nouveau titulaire de sorte que les prestations ne soient pas retardées </w:t>
      </w:r>
    </w:p>
    <w:p w14:paraId="6E68F555" w14:textId="77777777" w:rsidR="00A8538E" w:rsidRDefault="00A6768D">
      <w:pPr>
        <w:spacing w:after="31" w:line="259" w:lineRule="auto"/>
        <w:ind w:left="0" w:right="0" w:firstLine="0"/>
        <w:jc w:val="left"/>
      </w:pPr>
      <w:r>
        <w:rPr>
          <w:sz w:val="16"/>
        </w:rPr>
        <w:t xml:space="preserve"> </w:t>
      </w:r>
    </w:p>
    <w:p w14:paraId="4B98A8E0" w14:textId="77777777" w:rsidR="00A8538E" w:rsidRDefault="00A6768D">
      <w:pPr>
        <w:ind w:left="-5" w:right="0"/>
      </w:pPr>
      <w:r>
        <w:t xml:space="preserve">Le marché est résilié de plein droit : </w:t>
      </w:r>
    </w:p>
    <w:p w14:paraId="3A9381E7" w14:textId="77777777" w:rsidR="00A8538E" w:rsidRDefault="00A6768D">
      <w:pPr>
        <w:ind w:left="-5" w:right="0"/>
      </w:pPr>
      <w:r>
        <w:lastRenderedPageBreak/>
        <w:t xml:space="preserve">1°) en cas de déconfiture du titulaire, </w:t>
      </w:r>
    </w:p>
    <w:p w14:paraId="47EB3D4E" w14:textId="77777777" w:rsidR="00A8538E" w:rsidRDefault="00A6768D">
      <w:pPr>
        <w:ind w:left="-5" w:right="0"/>
      </w:pPr>
      <w:r>
        <w:t xml:space="preserve">2°) si le titulaire tombe sous le coup des interdictions prononcées par l’article 44 du code des marchés publics, </w:t>
      </w:r>
    </w:p>
    <w:p w14:paraId="269BB0A1" w14:textId="77777777" w:rsidR="00A8538E" w:rsidRDefault="00A6768D">
      <w:pPr>
        <w:ind w:left="-5" w:right="0"/>
      </w:pPr>
      <w:r>
        <w:t xml:space="preserve">Le marché peut être résilié d'office si le titulaire n'est pas en règle avec la législation du travail et de la Sécurité Sociale. </w:t>
      </w:r>
    </w:p>
    <w:p w14:paraId="3DD3DB6B" w14:textId="77777777" w:rsidR="00A8538E" w:rsidRDefault="00A6768D">
      <w:pPr>
        <w:spacing w:after="69" w:line="259" w:lineRule="auto"/>
        <w:ind w:left="0" w:right="0" w:firstLine="0"/>
        <w:jc w:val="left"/>
      </w:pPr>
      <w:r>
        <w:rPr>
          <w:sz w:val="16"/>
        </w:rPr>
        <w:t xml:space="preserve"> </w:t>
      </w:r>
    </w:p>
    <w:p w14:paraId="039563ED" w14:textId="77777777" w:rsidR="00A8538E" w:rsidRDefault="00A6768D">
      <w:pPr>
        <w:ind w:left="-5" w:right="0"/>
      </w:pPr>
      <w:r>
        <w:t xml:space="preserve">Dans tous les cas, la résiliation n’ouvre droit à aucune indemnité au profit du titulaire. </w:t>
      </w:r>
    </w:p>
    <w:p w14:paraId="15273C97" w14:textId="77777777" w:rsidR="00A8538E" w:rsidRDefault="00A6768D">
      <w:pPr>
        <w:spacing w:after="0" w:line="259" w:lineRule="auto"/>
        <w:ind w:left="0" w:right="0" w:firstLine="0"/>
        <w:jc w:val="left"/>
      </w:pPr>
      <w:r>
        <w:t xml:space="preserve"> </w:t>
      </w:r>
    </w:p>
    <w:bookmarkStart w:id="48" w:name="_Toc513628530"/>
    <w:p w14:paraId="1D4C16E5" w14:textId="77777777" w:rsidR="00A8538E" w:rsidRDefault="00A6768D">
      <w:pPr>
        <w:pStyle w:val="Titre2"/>
        <w:spacing w:after="9" w:line="250" w:lineRule="auto"/>
        <w:ind w:left="74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AEA5A85" wp14:editId="3B9F91FC">
                <wp:simplePos x="0" y="0"/>
                <wp:positionH relativeFrom="column">
                  <wp:posOffset>0</wp:posOffset>
                </wp:positionH>
                <wp:positionV relativeFrom="paragraph">
                  <wp:posOffset>154686</wp:posOffset>
                </wp:positionV>
                <wp:extent cx="1890395" cy="10668"/>
                <wp:effectExtent l="0" t="0" r="0" b="0"/>
                <wp:wrapNone/>
                <wp:docPr id="39865" name="Group 39865"/>
                <wp:cNvGraphicFramePr/>
                <a:graphic xmlns:a="http://schemas.openxmlformats.org/drawingml/2006/main">
                  <a:graphicData uri="http://schemas.microsoft.com/office/word/2010/wordprocessingGroup">
                    <wpg:wgp>
                      <wpg:cNvGrpSpPr/>
                      <wpg:grpSpPr>
                        <a:xfrm>
                          <a:off x="0" y="0"/>
                          <a:ext cx="1890395" cy="10668"/>
                          <a:chOff x="0" y="0"/>
                          <a:chExt cx="1890395" cy="10668"/>
                        </a:xfrm>
                      </wpg:grpSpPr>
                      <wps:wsp>
                        <wps:cNvPr id="43259" name="Shape 43259"/>
                        <wps:cNvSpPr/>
                        <wps:spPr>
                          <a:xfrm>
                            <a:off x="0" y="0"/>
                            <a:ext cx="1890395" cy="10668"/>
                          </a:xfrm>
                          <a:custGeom>
                            <a:avLst/>
                            <a:gdLst/>
                            <a:ahLst/>
                            <a:cxnLst/>
                            <a:rect l="0" t="0" r="0" b="0"/>
                            <a:pathLst>
                              <a:path w="1890395" h="10668">
                                <a:moveTo>
                                  <a:pt x="0" y="0"/>
                                </a:moveTo>
                                <a:lnTo>
                                  <a:pt x="1890395" y="0"/>
                                </a:lnTo>
                                <a:lnTo>
                                  <a:pt x="189039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865" style="width:148.85pt;height:0.840027pt;position:absolute;z-index:29;mso-position-horizontal-relative:text;mso-position-horizontal:absolute;margin-left:0pt;mso-position-vertical-relative:text;margin-top:12.18pt;" coordsize="18903,106">
                <v:shape id="Shape 43260" style="position:absolute;width:18903;height:106;left:0;top:0;" coordsize="1890395,10668" path="m0,0l1890395,0l1890395,10668l0,10668l0,0">
                  <v:stroke weight="0pt" endcap="flat" joinstyle="miter" miterlimit="10" on="false" color="#000000" opacity="0"/>
                  <v:fill on="true" color="#000000"/>
                </v:shape>
              </v:group>
            </w:pict>
          </mc:Fallback>
        </mc:AlternateContent>
      </w:r>
      <w:r>
        <w:rPr>
          <w:u w:val="none"/>
        </w:rPr>
        <w:t>7-2 Clauses diverses</w:t>
      </w:r>
      <w:bookmarkEnd w:id="48"/>
      <w:r>
        <w:rPr>
          <w:u w:val="none"/>
        </w:rPr>
        <w:t xml:space="preserve"> </w:t>
      </w:r>
    </w:p>
    <w:p w14:paraId="0B16FED9" w14:textId="77777777" w:rsidR="00A8538E" w:rsidRDefault="00A6768D">
      <w:pPr>
        <w:spacing w:after="0" w:line="259" w:lineRule="auto"/>
        <w:ind w:left="0" w:right="0" w:firstLine="0"/>
        <w:jc w:val="left"/>
      </w:pPr>
      <w:r>
        <w:rPr>
          <w:b/>
          <w:sz w:val="24"/>
        </w:rPr>
        <w:t xml:space="preserve"> </w:t>
      </w:r>
    </w:p>
    <w:p w14:paraId="0C3B9264" w14:textId="77777777" w:rsidR="00A8538E" w:rsidRDefault="00A6768D">
      <w:pPr>
        <w:pStyle w:val="Titre3"/>
        <w:ind w:left="-5"/>
      </w:pPr>
      <w:r>
        <w:t xml:space="preserve">- Conduite des prestations dans un groupement </w:t>
      </w:r>
    </w:p>
    <w:p w14:paraId="646BCBB6" w14:textId="77777777" w:rsidR="00A8538E" w:rsidRDefault="00A6768D">
      <w:pPr>
        <w:spacing w:after="0" w:line="259" w:lineRule="auto"/>
        <w:ind w:left="0" w:right="0" w:firstLine="0"/>
        <w:jc w:val="left"/>
      </w:pPr>
      <w:r>
        <w:t xml:space="preserve"> </w:t>
      </w:r>
    </w:p>
    <w:p w14:paraId="1672E69A" w14:textId="77777777" w:rsidR="00A8538E" w:rsidRDefault="00A6768D">
      <w:pPr>
        <w:ind w:left="-5" w:right="0"/>
      </w:pPr>
      <w:r>
        <w:t xml:space="preserve">La bonne exécution des prestations dépendant essentiellement des cotraitants désignés comme tels dans l’acte d’engagement et constituant le groupement titulaire du marché, les stipulations de l’article 3.4.3 du C.C.A.G.-P.I. sont applicables.  </w:t>
      </w:r>
    </w:p>
    <w:p w14:paraId="5105617C" w14:textId="77777777" w:rsidR="00A8538E" w:rsidRDefault="00A6768D">
      <w:pPr>
        <w:ind w:left="-5" w:right="0"/>
      </w:pPr>
      <w:r>
        <w:t xml:space="preserve">En conséquence, les articles du C.C.A.G.-P.I., traitant de la résiliation aux torts du titulaire (Art. 32) et les autres cas de résiliation (Art. 30) s’appliquent dès lors qu’un seul des cotraitants du groupement se trouve dans une des situations prévues à ces articles.  </w:t>
      </w:r>
    </w:p>
    <w:p w14:paraId="5679AD15" w14:textId="77777777" w:rsidR="00A8538E" w:rsidRDefault="00A6768D">
      <w:pPr>
        <w:spacing w:after="0" w:line="259" w:lineRule="auto"/>
        <w:ind w:left="0" w:right="0" w:firstLine="0"/>
        <w:jc w:val="left"/>
      </w:pPr>
      <w:r>
        <w:t xml:space="preserve"> </w:t>
      </w:r>
    </w:p>
    <w:p w14:paraId="14F1F312" w14:textId="77777777" w:rsidR="00A8538E" w:rsidRDefault="00A6768D">
      <w:pPr>
        <w:spacing w:after="0" w:line="259" w:lineRule="auto"/>
        <w:ind w:left="0" w:right="0" w:firstLine="0"/>
        <w:jc w:val="left"/>
      </w:pPr>
      <w:r>
        <w:rPr>
          <w:i/>
          <w:sz w:val="24"/>
        </w:rPr>
        <w:t xml:space="preserve">- Saisie - attribution </w:t>
      </w:r>
    </w:p>
    <w:p w14:paraId="2106B75B" w14:textId="77777777" w:rsidR="00A8538E" w:rsidRDefault="00A6768D">
      <w:pPr>
        <w:spacing w:after="19" w:line="259" w:lineRule="auto"/>
        <w:ind w:left="0" w:right="0" w:firstLine="0"/>
        <w:jc w:val="left"/>
      </w:pPr>
      <w:r>
        <w:rPr>
          <w:sz w:val="18"/>
        </w:rPr>
        <w:t xml:space="preserve"> </w:t>
      </w:r>
    </w:p>
    <w:p w14:paraId="19B4F248" w14:textId="77777777" w:rsidR="00A8538E" w:rsidRDefault="00A6768D">
      <w:pPr>
        <w:ind w:left="-5" w:right="0"/>
      </w:pPr>
      <w:r>
        <w:t xml:space="preserve">Si le marché est conclu avec un groupement de cotraitants solidaires, le comptable assignataire des paiements auprès duquel serait pratiquée la saisie-attribution du chef du marché et de l’un des cotraitants retiendra sur les prochains mandats de paiement émis au titre de ce marché l’intégralité de la somme pour attribution au créancier saisissant. </w:t>
      </w:r>
    </w:p>
    <w:p w14:paraId="4DBF6DED" w14:textId="77777777" w:rsidR="00D21FED" w:rsidRDefault="00D21FED">
      <w:pPr>
        <w:ind w:left="-5" w:right="0"/>
      </w:pPr>
    </w:p>
    <w:p w14:paraId="43E8F8A9" w14:textId="77777777" w:rsidR="00D21FED" w:rsidRDefault="00A6768D" w:rsidP="00D21FED">
      <w:pPr>
        <w:spacing w:after="0" w:line="259" w:lineRule="auto"/>
        <w:ind w:left="0" w:right="0" w:firstLine="0"/>
        <w:jc w:val="left"/>
        <w:rPr>
          <w:sz w:val="18"/>
        </w:rPr>
      </w:pPr>
      <w:r>
        <w:t xml:space="preserve"> Assurances </w:t>
      </w:r>
      <w:r>
        <w:rPr>
          <w:sz w:val="18"/>
        </w:rPr>
        <w:t xml:space="preserve"> </w:t>
      </w:r>
    </w:p>
    <w:p w14:paraId="5B9843E2" w14:textId="77777777" w:rsidR="00A8538E" w:rsidRDefault="00A6768D" w:rsidP="00D21FED">
      <w:pPr>
        <w:spacing w:after="0" w:line="259" w:lineRule="auto"/>
        <w:ind w:left="0" w:right="0" w:firstLine="0"/>
        <w:jc w:val="left"/>
      </w:pPr>
      <w:r>
        <w:t xml:space="preserve">Dans un délai de quinze jours à compter de la notification du marché et avant tout commencement d’exécution, le maître d’œuvre (en la personne de chacune de ses composantes) doit justifier qu’il est titulaire d’une assurance couvrant les responsabilités découlant des principes dont s’inspirent les articles 1792 et suivants du Code civil. </w:t>
      </w:r>
    </w:p>
    <w:p w14:paraId="7B7122CB" w14:textId="77777777" w:rsidR="00A8538E" w:rsidRDefault="00A6768D">
      <w:pPr>
        <w:spacing w:after="26" w:line="259" w:lineRule="auto"/>
        <w:ind w:left="0" w:right="0" w:firstLine="0"/>
        <w:jc w:val="left"/>
      </w:pPr>
      <w:r>
        <w:rPr>
          <w:sz w:val="18"/>
        </w:rPr>
        <w:t xml:space="preserve"> </w:t>
      </w:r>
    </w:p>
    <w:p w14:paraId="3E50C2F4" w14:textId="77777777" w:rsidR="00A8538E" w:rsidRDefault="00A6768D">
      <w:pPr>
        <w:ind w:left="-5" w:right="0"/>
      </w:pPr>
      <w:r>
        <w:lastRenderedPageBreak/>
        <w:t xml:space="preserve">Le maître d’œuvre devra fournir, avant notification du marché, une attestation de son assureur justifiant qu’il est à jour de ses cotisations et que sa police contient les garanties en rapport avec l’importance de l’opération. </w:t>
      </w:r>
    </w:p>
    <w:p w14:paraId="3B53D233" w14:textId="77777777" w:rsidR="00A8538E" w:rsidRDefault="00A6768D">
      <w:pPr>
        <w:spacing w:after="19" w:line="259" w:lineRule="auto"/>
        <w:ind w:left="0" w:right="0" w:firstLine="0"/>
        <w:jc w:val="left"/>
      </w:pPr>
      <w:r>
        <w:rPr>
          <w:sz w:val="18"/>
        </w:rPr>
        <w:t xml:space="preserve"> </w:t>
      </w:r>
    </w:p>
    <w:p w14:paraId="19B3B3EA" w14:textId="77777777" w:rsidR="00A8538E" w:rsidRDefault="00A6768D">
      <w:pPr>
        <w:ind w:left="-5" w:right="0"/>
      </w:pPr>
      <w:r>
        <w:t xml:space="preserve">Il devra, s’il y a lieu, souscrire une police complémentaire, si celle existante n’est pas considérée comme suffisante par les maîtres d’ouvrage pour assurer la couverture des risques liés à cette opération.  Il devra fournir une attestation semblable à l’appui de son projet de décompte final. </w:t>
      </w:r>
    </w:p>
    <w:p w14:paraId="1E09D321" w14:textId="77777777" w:rsidR="00A8538E" w:rsidRDefault="00A6768D">
      <w:pPr>
        <w:spacing w:after="46" w:line="259" w:lineRule="auto"/>
        <w:ind w:left="0" w:right="0" w:firstLine="0"/>
        <w:jc w:val="left"/>
      </w:pPr>
      <w:r>
        <w:rPr>
          <w:sz w:val="18"/>
        </w:rPr>
        <w:t xml:space="preserve"> </w:t>
      </w:r>
    </w:p>
    <w:p w14:paraId="79F55886" w14:textId="77777777" w:rsidR="00A8538E" w:rsidRDefault="00A6768D">
      <w:pPr>
        <w:ind w:left="-5" w:right="0"/>
      </w:pPr>
      <w:r>
        <w:t xml:space="preserve">À tout moment durant l’exécution de la prestation, le titulaire doit être en mesure de produire cette attestation, sur demande du pouvoir adjudicateur et dans un délai de quinze jours à compter de la réception de la demande.  </w:t>
      </w:r>
    </w:p>
    <w:p w14:paraId="54520E14" w14:textId="77777777" w:rsidR="00A8538E" w:rsidRDefault="00A6768D">
      <w:pPr>
        <w:spacing w:after="0" w:line="259" w:lineRule="auto"/>
        <w:ind w:left="0" w:right="0" w:firstLine="0"/>
        <w:jc w:val="left"/>
      </w:pPr>
      <w:r>
        <w:t xml:space="preserve"> </w:t>
      </w:r>
    </w:p>
    <w:p w14:paraId="6AF309C7" w14:textId="77777777" w:rsidR="00A8538E" w:rsidRDefault="00A6768D">
      <w:pPr>
        <w:pStyle w:val="Titre3"/>
        <w:ind w:left="-5"/>
      </w:pPr>
      <w:r>
        <w:t xml:space="preserve">- Garanties </w:t>
      </w:r>
    </w:p>
    <w:p w14:paraId="08CB0272" w14:textId="77777777" w:rsidR="00A8538E" w:rsidRDefault="00A6768D">
      <w:pPr>
        <w:spacing w:after="52" w:line="259" w:lineRule="auto"/>
        <w:ind w:left="0" w:right="0" w:firstLine="0"/>
        <w:jc w:val="left"/>
      </w:pPr>
      <w:r>
        <w:rPr>
          <w:sz w:val="18"/>
        </w:rPr>
        <w:t xml:space="preserve"> </w:t>
      </w:r>
    </w:p>
    <w:p w14:paraId="6F29794C" w14:textId="77777777" w:rsidR="00A8538E" w:rsidRDefault="00A6768D">
      <w:pPr>
        <w:ind w:left="-5" w:right="0"/>
      </w:pPr>
      <w:r>
        <w:t>Au regard de la nature spécifique des prestations du marché, il n’est pas appliqué de retenue de garantie. Toutefois, dans le cas d'une avance, le titulaire sera tenu de constituer une garantie à première demande conformément à l'article 89 du code des marchés publics.</w:t>
      </w:r>
      <w:r>
        <w:rPr>
          <w:i/>
        </w:rPr>
        <w:t xml:space="preserve"> </w:t>
      </w:r>
    </w:p>
    <w:p w14:paraId="251F470E" w14:textId="77777777" w:rsidR="00A8538E" w:rsidRDefault="00A6768D">
      <w:pPr>
        <w:spacing w:after="10" w:line="259" w:lineRule="auto"/>
        <w:ind w:left="0" w:right="0" w:firstLine="0"/>
        <w:jc w:val="left"/>
      </w:pPr>
      <w:r>
        <w:t xml:space="preserve"> </w:t>
      </w:r>
    </w:p>
    <w:p w14:paraId="3BF5B409" w14:textId="77777777" w:rsidR="00A8538E" w:rsidRDefault="00A6768D">
      <w:pPr>
        <w:spacing w:after="0" w:line="259" w:lineRule="auto"/>
        <w:ind w:left="-5" w:right="0"/>
        <w:jc w:val="left"/>
      </w:pPr>
      <w:r>
        <w:rPr>
          <w:i/>
          <w:sz w:val="24"/>
        </w:rPr>
        <w:t xml:space="preserve">- </w:t>
      </w:r>
      <w:r>
        <w:rPr>
          <w:i/>
        </w:rPr>
        <w:t>Règlement des litiges</w:t>
      </w:r>
      <w:r>
        <w:rPr>
          <w:i/>
          <w:sz w:val="24"/>
        </w:rPr>
        <w:t xml:space="preserve"> </w:t>
      </w:r>
    </w:p>
    <w:p w14:paraId="5C088FD7" w14:textId="77777777" w:rsidR="00A8538E" w:rsidRDefault="00A6768D">
      <w:pPr>
        <w:spacing w:after="23" w:line="259" w:lineRule="auto"/>
        <w:ind w:left="0" w:right="0" w:firstLine="0"/>
        <w:jc w:val="left"/>
      </w:pPr>
      <w:r>
        <w:rPr>
          <w:sz w:val="18"/>
        </w:rPr>
        <w:t xml:space="preserve"> </w:t>
      </w:r>
    </w:p>
    <w:p w14:paraId="4F830B63" w14:textId="7DE3AF9E" w:rsidR="00A8538E" w:rsidRDefault="00A6768D">
      <w:pPr>
        <w:ind w:left="-5" w:right="0"/>
      </w:pPr>
      <w:r>
        <w:t>En cas de litige, seul le Tribunal Administratif</w:t>
      </w:r>
      <w:r w:rsidR="00C60BD6">
        <w:t xml:space="preserve"> de Nîmes</w:t>
      </w:r>
      <w:r>
        <w:t xml:space="preserve"> est compétent en la matière.  </w:t>
      </w:r>
    </w:p>
    <w:p w14:paraId="7158BE76" w14:textId="77777777" w:rsidR="00A8538E" w:rsidRDefault="00A6768D">
      <w:pPr>
        <w:spacing w:after="0" w:line="259" w:lineRule="auto"/>
        <w:ind w:left="0" w:right="0" w:firstLine="0"/>
        <w:jc w:val="left"/>
      </w:pPr>
      <w:r>
        <w:t xml:space="preserve"> </w:t>
      </w:r>
    </w:p>
    <w:p w14:paraId="748FAB7A" w14:textId="77777777" w:rsidR="00A8538E" w:rsidRDefault="00A6768D">
      <w:pPr>
        <w:pStyle w:val="Titre3"/>
        <w:ind w:left="-5"/>
      </w:pPr>
      <w:r>
        <w:t xml:space="preserve">- Décision de poursuivre </w:t>
      </w:r>
    </w:p>
    <w:p w14:paraId="46B255D7" w14:textId="77777777" w:rsidR="00A8538E" w:rsidRDefault="00A6768D">
      <w:pPr>
        <w:spacing w:after="21" w:line="259" w:lineRule="auto"/>
        <w:ind w:left="0" w:right="0" w:firstLine="0"/>
        <w:jc w:val="left"/>
      </w:pPr>
      <w:r>
        <w:rPr>
          <w:sz w:val="18"/>
        </w:rPr>
        <w:t xml:space="preserve"> </w:t>
      </w:r>
    </w:p>
    <w:p w14:paraId="4293EFF3" w14:textId="77777777" w:rsidR="00A8538E" w:rsidRDefault="00A6768D">
      <w:pPr>
        <w:ind w:left="-5" w:right="0"/>
      </w:pPr>
      <w:r>
        <w:t xml:space="preserve">La poursuite de l’exécution des prestations en cas de dépassement de la masse initiale est subordonnée à la conclusion d’un avenant ou à l’émission d’une décision de poursuivre prise par le pouvoir adjudicateur.  </w:t>
      </w:r>
    </w:p>
    <w:p w14:paraId="406904C2" w14:textId="77777777" w:rsidR="00A8538E" w:rsidRDefault="00A6768D">
      <w:pPr>
        <w:spacing w:after="0" w:line="259" w:lineRule="auto"/>
        <w:ind w:left="0" w:right="0" w:firstLine="0"/>
        <w:jc w:val="left"/>
      </w:pPr>
      <w:r>
        <w:rPr>
          <w:i/>
        </w:rPr>
        <w:t xml:space="preserve"> </w:t>
      </w:r>
    </w:p>
    <w:p w14:paraId="17E86B42" w14:textId="77777777" w:rsidR="00A8538E" w:rsidRDefault="00A6768D">
      <w:pPr>
        <w:pStyle w:val="Titre3"/>
        <w:ind w:left="-5"/>
      </w:pPr>
      <w:r>
        <w:t xml:space="preserve">- Pénalité pour travail dissimulé </w:t>
      </w:r>
    </w:p>
    <w:p w14:paraId="4A678237" w14:textId="77777777" w:rsidR="00A8538E" w:rsidRDefault="00A6768D">
      <w:pPr>
        <w:spacing w:after="19" w:line="259" w:lineRule="auto"/>
        <w:ind w:left="0" w:right="0" w:firstLine="0"/>
        <w:jc w:val="left"/>
      </w:pPr>
      <w:r>
        <w:rPr>
          <w:sz w:val="18"/>
        </w:rPr>
        <w:t xml:space="preserve"> </w:t>
      </w:r>
    </w:p>
    <w:p w14:paraId="7FFB5D81" w14:textId="77777777" w:rsidR="00A8538E" w:rsidRDefault="00A6768D">
      <w:pPr>
        <w:ind w:left="-5" w:right="0"/>
      </w:pPr>
      <w:r>
        <w:t xml:space="preserve">Si le titulaire du marché ne s’acquitte pas des formalités prévues par le Code du travail en matière de travail dissimulé par dissimulation d’activité ou d’emploi salarié, le pouvoir adjudicateur applique une pénalité correspondant à 3 % du montant HT du marché. Le montant de cette pénalité ne pourra toutefois pas </w:t>
      </w:r>
      <w:r>
        <w:lastRenderedPageBreak/>
        <w:t xml:space="preserve">excéder le montant des amendes prévues à titre de sanction pénale par le Code du travail en matière de travail dissimulé. </w:t>
      </w:r>
    </w:p>
    <w:p w14:paraId="693F22C9" w14:textId="77777777" w:rsidR="00A8538E" w:rsidRDefault="00A6768D">
      <w:pPr>
        <w:pStyle w:val="Titre3"/>
        <w:ind w:left="-5"/>
      </w:pPr>
      <w:r>
        <w:t xml:space="preserve"> Secret professionnel </w:t>
      </w:r>
    </w:p>
    <w:p w14:paraId="36265BDA" w14:textId="77777777" w:rsidR="00A8538E" w:rsidRDefault="00A6768D">
      <w:pPr>
        <w:spacing w:after="19" w:line="259" w:lineRule="auto"/>
        <w:ind w:left="0" w:right="0" w:firstLine="0"/>
        <w:jc w:val="left"/>
      </w:pPr>
      <w:r>
        <w:rPr>
          <w:sz w:val="18"/>
        </w:rPr>
        <w:t xml:space="preserve"> </w:t>
      </w:r>
    </w:p>
    <w:p w14:paraId="789E8412" w14:textId="77777777" w:rsidR="00A8538E" w:rsidRDefault="00A6768D">
      <w:pPr>
        <w:ind w:left="-5" w:right="0"/>
      </w:pPr>
      <w:r>
        <w:t xml:space="preserve">Le titulaire est tenu au secret professionnel pour tout ce qui a trait aux renseignements et documents recueillis au cours de la mission. Ces renseignements ou documents ne peuvent, sans autorisation, être communiqués à d'autres personnes que celles qui ont qualité pour en connaître.  </w:t>
      </w:r>
    </w:p>
    <w:p w14:paraId="743DAA7C" w14:textId="77777777" w:rsidR="00A8538E" w:rsidRDefault="00A6768D">
      <w:pPr>
        <w:ind w:left="-5" w:right="0"/>
      </w:pPr>
      <w:r>
        <w:t xml:space="preserve">Le titulaire s'interdit d'utiliser les documents qui lui sont confiés à d'autres fins que celles qui sont prévues au marché.  </w:t>
      </w:r>
    </w:p>
    <w:p w14:paraId="7CC2524D" w14:textId="77777777" w:rsidR="00A8538E" w:rsidRDefault="00A6768D">
      <w:pPr>
        <w:spacing w:after="0" w:line="259" w:lineRule="auto"/>
        <w:ind w:left="0" w:right="0" w:firstLine="0"/>
        <w:jc w:val="left"/>
      </w:pPr>
      <w:r>
        <w:t xml:space="preserve"> </w:t>
      </w:r>
    </w:p>
    <w:p w14:paraId="45DC4C88" w14:textId="77777777" w:rsidR="00A8538E" w:rsidRDefault="00A6768D">
      <w:pPr>
        <w:pStyle w:val="Titre3"/>
        <w:ind w:left="-5"/>
      </w:pPr>
      <w:r>
        <w:t xml:space="preserve">- Forme des notifications et informations </w:t>
      </w:r>
    </w:p>
    <w:p w14:paraId="2F70E149" w14:textId="77777777" w:rsidR="00A8538E" w:rsidRDefault="00A6768D">
      <w:pPr>
        <w:spacing w:after="39" w:line="259" w:lineRule="auto"/>
        <w:ind w:left="0" w:right="0" w:firstLine="0"/>
        <w:jc w:val="left"/>
      </w:pPr>
      <w:r>
        <w:rPr>
          <w:sz w:val="18"/>
        </w:rPr>
        <w:t xml:space="preserve"> </w:t>
      </w:r>
    </w:p>
    <w:p w14:paraId="187F8C3B" w14:textId="77777777" w:rsidR="00A8538E" w:rsidRDefault="00A6768D">
      <w:pPr>
        <w:ind w:left="-5" w:right="0"/>
      </w:pPr>
      <w:r>
        <w:t xml:space="preserve">En complément à l’article 3.1 du CCAG de référence, la notification au titulaire des décisions ou informations du pouvoir adjudicateur qui font notamment courir un délai pourra être faite par échanges dématérialisées.  </w:t>
      </w:r>
    </w:p>
    <w:p w14:paraId="70337DAF" w14:textId="77777777" w:rsidR="00A8538E" w:rsidRDefault="00A6768D">
      <w:pPr>
        <w:ind w:left="-5" w:right="0"/>
      </w:pPr>
      <w:r>
        <w:t xml:space="preserve">Cette notification sera adressée en recommandé avec AR à l’adresse mél de référence du titulaire via l’adresse ____________________________ conformément au décret n°2011-144 du 2 février 2011 relatif à l’envoi d’une lettre recommandée par courrier électronique pour la conclusion ou l’exécution d’un contrat.  </w:t>
      </w:r>
    </w:p>
    <w:p w14:paraId="0269A301" w14:textId="77777777" w:rsidR="00A8538E" w:rsidRDefault="00A6768D">
      <w:pPr>
        <w:spacing w:after="0" w:line="259" w:lineRule="auto"/>
        <w:ind w:left="0" w:right="0" w:firstLine="0"/>
        <w:jc w:val="left"/>
      </w:pPr>
      <w:r>
        <w:t xml:space="preserve"> </w:t>
      </w:r>
    </w:p>
    <w:p w14:paraId="299F1DBA" w14:textId="77777777" w:rsidR="00A8538E" w:rsidRDefault="00A6768D">
      <w:pPr>
        <w:pStyle w:val="Titre2"/>
        <w:ind w:left="-5"/>
      </w:pPr>
      <w:bookmarkStart w:id="49" w:name="_Toc513628531"/>
      <w:r>
        <w:t>Article 7-3 Clauses complémentaires</w:t>
      </w:r>
      <w:bookmarkEnd w:id="49"/>
      <w:r>
        <w:rPr>
          <w:u w:val="none"/>
        </w:rPr>
        <w:t xml:space="preserve"> </w:t>
      </w:r>
    </w:p>
    <w:p w14:paraId="58444389" w14:textId="77777777" w:rsidR="00A8538E" w:rsidRDefault="00A6768D">
      <w:pPr>
        <w:spacing w:after="0" w:line="259" w:lineRule="auto"/>
        <w:ind w:left="0" w:right="0" w:firstLine="0"/>
        <w:jc w:val="left"/>
      </w:pPr>
      <w:r>
        <w:rPr>
          <w:b/>
          <w:sz w:val="24"/>
        </w:rPr>
        <w:t xml:space="preserve"> </w:t>
      </w:r>
    </w:p>
    <w:p w14:paraId="4DDFBCE1" w14:textId="77777777" w:rsidR="00A8538E" w:rsidRDefault="00A6768D">
      <w:pPr>
        <w:pStyle w:val="Titre3"/>
        <w:ind w:left="-5"/>
      </w:pPr>
      <w:r>
        <w:t xml:space="preserve">- Pièces à fournir tous les 6 mois dans le cadre de l’exécution du marché </w:t>
      </w:r>
    </w:p>
    <w:p w14:paraId="1B5DE2FA" w14:textId="77777777" w:rsidR="00A8538E" w:rsidRDefault="00A6768D">
      <w:pPr>
        <w:spacing w:after="19" w:line="259" w:lineRule="auto"/>
        <w:ind w:left="0" w:right="0" w:firstLine="0"/>
        <w:jc w:val="left"/>
        <w:rPr>
          <w:strike/>
          <w:sz w:val="18"/>
        </w:rPr>
      </w:pPr>
      <w:r w:rsidRPr="00C60BD6">
        <w:rPr>
          <w:strike/>
          <w:sz w:val="18"/>
        </w:rPr>
        <w:t xml:space="preserve"> </w:t>
      </w:r>
    </w:p>
    <w:p w14:paraId="7BD93F1F" w14:textId="77777777" w:rsidR="00C60BD6" w:rsidRPr="005851FE" w:rsidRDefault="00C60BD6" w:rsidP="00C60BD6">
      <w:pPr>
        <w:rPr>
          <w:color w:val="auto"/>
        </w:rPr>
      </w:pPr>
      <w:r w:rsidRPr="005851FE">
        <w:rPr>
          <w:color w:val="auto"/>
        </w:rPr>
        <w:t>Le candidat retenu s’engage à fournir à la collectivité, tous les 6 mois à compter de la notification et jusqu’au terme du marché, les documents prévus à l’article D 8222-5 ou D 8222-7 et D 8222-8 du Code du travail (attestation de vigilance URSSAF).</w:t>
      </w:r>
    </w:p>
    <w:p w14:paraId="58579234" w14:textId="77777777" w:rsidR="00C60BD6" w:rsidRPr="00C60BD6" w:rsidRDefault="00C60BD6">
      <w:pPr>
        <w:spacing w:after="19" w:line="259" w:lineRule="auto"/>
        <w:ind w:left="0" w:right="0" w:firstLine="0"/>
        <w:jc w:val="left"/>
        <w:rPr>
          <w:strike/>
          <w:color w:val="FF0000"/>
          <w:sz w:val="18"/>
        </w:rPr>
      </w:pPr>
    </w:p>
    <w:p w14:paraId="3290BE2B" w14:textId="77777777" w:rsidR="00C60BD6" w:rsidRPr="00C60BD6" w:rsidRDefault="00C60BD6">
      <w:pPr>
        <w:spacing w:after="19" w:line="259" w:lineRule="auto"/>
        <w:ind w:left="0" w:right="0" w:firstLine="0"/>
        <w:jc w:val="left"/>
        <w:rPr>
          <w:strike/>
        </w:rPr>
      </w:pPr>
    </w:p>
    <w:p w14:paraId="1B9C022D" w14:textId="22D546E6" w:rsidR="00A8538E" w:rsidRDefault="00A8538E">
      <w:pPr>
        <w:spacing w:after="0" w:line="259" w:lineRule="auto"/>
        <w:ind w:left="0" w:right="0" w:firstLine="0"/>
        <w:jc w:val="left"/>
      </w:pPr>
    </w:p>
    <w:p w14:paraId="4B0C4719" w14:textId="77777777" w:rsidR="00A8538E" w:rsidRDefault="00A6768D">
      <w:pPr>
        <w:pStyle w:val="Titre3"/>
        <w:ind w:left="-5"/>
      </w:pPr>
      <w:r>
        <w:t xml:space="preserve">- Travaux modificatifs ou supplémentaires </w:t>
      </w:r>
    </w:p>
    <w:p w14:paraId="31106040" w14:textId="77777777" w:rsidR="00A8538E" w:rsidRDefault="00A6768D">
      <w:pPr>
        <w:spacing w:after="19" w:line="259" w:lineRule="auto"/>
        <w:ind w:left="0" w:right="0" w:firstLine="0"/>
        <w:jc w:val="left"/>
        <w:rPr>
          <w:sz w:val="18"/>
        </w:rPr>
      </w:pPr>
      <w:r>
        <w:rPr>
          <w:sz w:val="18"/>
        </w:rPr>
        <w:t xml:space="preserve"> </w:t>
      </w:r>
    </w:p>
    <w:p w14:paraId="326C03DC" w14:textId="77777777" w:rsidR="00A361A9" w:rsidRPr="000E5DC4" w:rsidRDefault="00A361A9" w:rsidP="000E5DC4">
      <w:pPr>
        <w:pStyle w:val="Normal2"/>
        <w:ind w:left="0"/>
        <w:jc w:val="left"/>
        <w:rPr>
          <w:rFonts w:ascii="Arial" w:hAnsi="Arial" w:cs="Arial"/>
        </w:rPr>
      </w:pPr>
      <w:r w:rsidRPr="000E5DC4">
        <w:rPr>
          <w:rFonts w:ascii="Arial" w:hAnsi="Arial" w:cs="Arial"/>
        </w:rPr>
        <w:t>Il sera fait application de l'article 65 de l'ordonnance 2015-899 du 23 juillet 2015 et des articles 139 et 140 du décret 2016-360 du 25 mars 2016.</w:t>
      </w:r>
    </w:p>
    <w:p w14:paraId="37437854" w14:textId="77777777" w:rsidR="00A361A9" w:rsidRDefault="00A361A9">
      <w:pPr>
        <w:spacing w:after="19" w:line="259" w:lineRule="auto"/>
        <w:ind w:left="0" w:right="0" w:firstLine="0"/>
        <w:jc w:val="left"/>
      </w:pPr>
    </w:p>
    <w:p w14:paraId="63783546" w14:textId="6255BE36" w:rsidR="00A8538E" w:rsidRDefault="00A8538E">
      <w:pPr>
        <w:spacing w:after="19" w:line="259" w:lineRule="auto"/>
        <w:ind w:left="0" w:right="0" w:firstLine="0"/>
        <w:jc w:val="left"/>
        <w:rPr>
          <w:sz w:val="18"/>
        </w:rPr>
      </w:pPr>
    </w:p>
    <w:p w14:paraId="3C1DE7E3" w14:textId="77777777" w:rsidR="00A361A9" w:rsidRDefault="00A361A9">
      <w:pPr>
        <w:spacing w:after="19" w:line="259" w:lineRule="auto"/>
        <w:ind w:left="0" w:right="0" w:firstLine="0"/>
        <w:jc w:val="left"/>
      </w:pPr>
    </w:p>
    <w:p w14:paraId="15A09D4B" w14:textId="529A9610" w:rsidR="00A8538E" w:rsidRDefault="00A6768D">
      <w:pPr>
        <w:ind w:left="-5" w:right="0"/>
      </w:pPr>
      <w:r>
        <w:t xml:space="preserve">L'incidence financière de ces modifications n'est pas prise en compte dans le coût total définitif des travaux </w:t>
      </w:r>
    </w:p>
    <w:p w14:paraId="0F7BC2D3" w14:textId="77777777" w:rsidR="00930E25" w:rsidRDefault="00930E25">
      <w:pPr>
        <w:ind w:left="-5" w:right="0"/>
      </w:pPr>
    </w:p>
    <w:p w14:paraId="4DBF0F13" w14:textId="77777777" w:rsidR="00A8538E" w:rsidRDefault="00A6768D">
      <w:pPr>
        <w:pStyle w:val="Titre2"/>
        <w:ind w:left="-5"/>
      </w:pPr>
      <w:bookmarkStart w:id="50" w:name="_Toc513628532"/>
      <w:r>
        <w:t>Article 7-4 Dérogations au C.C.A.G. Prestations Intellectuelles</w:t>
      </w:r>
      <w:bookmarkEnd w:id="50"/>
      <w:r>
        <w:rPr>
          <w:u w:val="none"/>
        </w:rPr>
        <w:t xml:space="preserve"> </w:t>
      </w:r>
    </w:p>
    <w:p w14:paraId="35B23B06" w14:textId="77777777" w:rsidR="00A8538E" w:rsidRDefault="00A6768D">
      <w:pPr>
        <w:spacing w:after="19" w:line="259" w:lineRule="auto"/>
        <w:ind w:left="0" w:right="0" w:firstLine="0"/>
        <w:jc w:val="left"/>
      </w:pPr>
      <w:r>
        <w:rPr>
          <w:sz w:val="18"/>
        </w:rPr>
        <w:t xml:space="preserve"> </w:t>
      </w:r>
    </w:p>
    <w:p w14:paraId="118F16F8" w14:textId="77777777" w:rsidR="00A8538E" w:rsidRDefault="00A6768D">
      <w:pPr>
        <w:ind w:left="-5" w:right="0"/>
      </w:pPr>
      <w:r>
        <w:t xml:space="preserve">Les dérogations aux C.C.A.G.-Prestations Intellectuelles, explicitées dans les articles désignés ci-après du C.C.A.P., sont apportées aux articles suivants :  </w:t>
      </w:r>
    </w:p>
    <w:p w14:paraId="3970EE01" w14:textId="77777777" w:rsidR="00A8538E" w:rsidRDefault="00A6768D">
      <w:pPr>
        <w:spacing w:after="40" w:line="259" w:lineRule="auto"/>
        <w:ind w:left="0" w:right="0" w:firstLine="0"/>
        <w:jc w:val="left"/>
      </w:pPr>
      <w:r>
        <w:rPr>
          <w:sz w:val="18"/>
        </w:rPr>
        <w:t xml:space="preserve"> </w:t>
      </w:r>
    </w:p>
    <w:p w14:paraId="3C6761E6" w14:textId="77777777" w:rsidR="00A8538E" w:rsidRDefault="00A6768D">
      <w:pPr>
        <w:ind w:left="-5" w:right="0"/>
      </w:pPr>
      <w:r>
        <w:t xml:space="preserve">L’article 2-1 déroge à l’article 4.1 du C.C.A.G. Prestations Intellectuelles </w:t>
      </w:r>
    </w:p>
    <w:p w14:paraId="65237D9C" w14:textId="77777777" w:rsidR="00A8538E" w:rsidRDefault="00A6768D">
      <w:pPr>
        <w:spacing w:after="0" w:line="259" w:lineRule="auto"/>
        <w:ind w:left="0" w:right="0" w:firstLine="0"/>
        <w:jc w:val="left"/>
      </w:pPr>
      <w:r>
        <w:t xml:space="preserve"> </w:t>
      </w:r>
    </w:p>
    <w:p w14:paraId="1D96A756" w14:textId="77777777" w:rsidR="00A8538E" w:rsidRDefault="00A6768D">
      <w:pPr>
        <w:ind w:left="-5" w:right="0"/>
      </w:pPr>
      <w:r>
        <w:t xml:space="preserve">L’article 4-1 déroge aux articles 14.1, 14.3 et 26 du C.C.A.G. Prestations Intellectuelles </w:t>
      </w:r>
    </w:p>
    <w:p w14:paraId="379E43AB" w14:textId="77777777" w:rsidR="00A8538E" w:rsidRDefault="00A6768D">
      <w:pPr>
        <w:spacing w:after="0" w:line="259" w:lineRule="auto"/>
        <w:ind w:left="0" w:right="0" w:firstLine="0"/>
        <w:jc w:val="left"/>
      </w:pPr>
      <w:r>
        <w:t xml:space="preserve"> </w:t>
      </w:r>
    </w:p>
    <w:p w14:paraId="4D96BE27" w14:textId="77777777" w:rsidR="00A8538E" w:rsidRDefault="00A6768D">
      <w:pPr>
        <w:ind w:left="-5" w:right="0"/>
      </w:pPr>
      <w:r>
        <w:t xml:space="preserve">L’article 4-1 déroge aux articles 26.2, 26.5 du C.C.A.G. Prestations Intellectuelles </w:t>
      </w:r>
    </w:p>
    <w:p w14:paraId="2B09BF80" w14:textId="77777777" w:rsidR="00A8538E" w:rsidRDefault="00A6768D">
      <w:pPr>
        <w:spacing w:after="0" w:line="259" w:lineRule="auto"/>
        <w:ind w:left="0" w:right="0" w:firstLine="0"/>
        <w:jc w:val="left"/>
      </w:pPr>
      <w:r>
        <w:t xml:space="preserve"> </w:t>
      </w:r>
    </w:p>
    <w:p w14:paraId="30046978" w14:textId="77777777" w:rsidR="00A8538E" w:rsidRDefault="00A6768D">
      <w:pPr>
        <w:ind w:left="-5" w:right="0"/>
      </w:pPr>
      <w:r>
        <w:t xml:space="preserve">L’article 4-2 déroge aux articles 14.1 et 14.3 du C.C.A.G. Prestations Intellectuelles </w:t>
      </w:r>
    </w:p>
    <w:p w14:paraId="344EDD83" w14:textId="77777777" w:rsidR="00A8538E" w:rsidRDefault="00A6768D">
      <w:pPr>
        <w:spacing w:after="0" w:line="259" w:lineRule="auto"/>
        <w:ind w:left="0" w:right="0" w:firstLine="0"/>
        <w:jc w:val="left"/>
      </w:pPr>
      <w:r>
        <w:t xml:space="preserve"> </w:t>
      </w:r>
    </w:p>
    <w:p w14:paraId="5094B7EA" w14:textId="77777777" w:rsidR="00A8538E" w:rsidRDefault="00A6768D">
      <w:pPr>
        <w:ind w:left="-5" w:right="0"/>
      </w:pPr>
      <w:r>
        <w:t xml:space="preserve">L’article 4-2 déroge aux articles 14.1 et 14.3 du C.C.A.G. Prestations Intellectuelles </w:t>
      </w:r>
    </w:p>
    <w:p w14:paraId="7460773A" w14:textId="77777777" w:rsidR="00A8538E" w:rsidRDefault="00A6768D">
      <w:pPr>
        <w:spacing w:after="0" w:line="259" w:lineRule="auto"/>
        <w:ind w:left="0" w:right="0" w:firstLine="0"/>
        <w:jc w:val="left"/>
      </w:pPr>
      <w:r>
        <w:t xml:space="preserve"> </w:t>
      </w:r>
    </w:p>
    <w:p w14:paraId="33CAE980" w14:textId="77777777" w:rsidR="00A8538E" w:rsidRDefault="00A6768D">
      <w:pPr>
        <w:ind w:left="-5" w:right="0"/>
      </w:pPr>
      <w:r>
        <w:t xml:space="preserve">L’article 4-2 déroge à l’article 14.3 du C.C.A.G. Prestations Intellectuelles </w:t>
      </w:r>
    </w:p>
    <w:p w14:paraId="0A6CB00A" w14:textId="77777777" w:rsidR="00A8538E" w:rsidRDefault="00A6768D">
      <w:pPr>
        <w:spacing w:after="0" w:line="259" w:lineRule="auto"/>
        <w:ind w:left="0" w:right="0" w:firstLine="0"/>
        <w:jc w:val="left"/>
      </w:pPr>
      <w:r>
        <w:t xml:space="preserve"> </w:t>
      </w:r>
    </w:p>
    <w:p w14:paraId="06AA2FA0" w14:textId="77777777" w:rsidR="00A8538E" w:rsidRDefault="00A6768D">
      <w:pPr>
        <w:spacing w:after="95"/>
        <w:ind w:left="-5" w:right="0"/>
      </w:pPr>
      <w:r>
        <w:t xml:space="preserve">L’article 6-8 déroge aux articles 14.3 du C.C.A.G. Prestations Intellectuelles  </w:t>
      </w:r>
    </w:p>
    <w:tbl>
      <w:tblPr>
        <w:tblStyle w:val="TableGrid"/>
        <w:tblpPr w:vertAnchor="text" w:tblpY="170"/>
        <w:tblOverlap w:val="never"/>
        <w:tblW w:w="8298" w:type="dxa"/>
        <w:tblInd w:w="0" w:type="dxa"/>
        <w:tblLook w:val="04A0" w:firstRow="1" w:lastRow="0" w:firstColumn="1" w:lastColumn="0" w:noHBand="0" w:noVBand="1"/>
      </w:tblPr>
      <w:tblGrid>
        <w:gridCol w:w="5339"/>
        <w:gridCol w:w="2959"/>
      </w:tblGrid>
      <w:tr w:rsidR="00A8538E" w14:paraId="6AE734CE" w14:textId="77777777">
        <w:trPr>
          <w:trHeight w:val="2605"/>
        </w:trPr>
        <w:tc>
          <w:tcPr>
            <w:tcW w:w="5339" w:type="dxa"/>
            <w:tcBorders>
              <w:top w:val="nil"/>
              <w:left w:val="nil"/>
              <w:bottom w:val="nil"/>
              <w:right w:val="nil"/>
            </w:tcBorders>
          </w:tcPr>
          <w:p w14:paraId="49F1C53F" w14:textId="77777777" w:rsidR="00A8538E" w:rsidRDefault="00A6768D">
            <w:pPr>
              <w:spacing w:after="0" w:line="259" w:lineRule="auto"/>
              <w:ind w:left="0" w:right="0" w:firstLine="0"/>
              <w:jc w:val="left"/>
            </w:pPr>
            <w:r>
              <w:lastRenderedPageBreak/>
              <w:t xml:space="preserve"> </w:t>
            </w:r>
            <w:r>
              <w:tab/>
              <w:t xml:space="preserve"> </w:t>
            </w:r>
          </w:p>
          <w:p w14:paraId="5B28DD99" w14:textId="77777777" w:rsidR="00A8538E" w:rsidRDefault="00A6768D">
            <w:pPr>
              <w:spacing w:after="124" w:line="259" w:lineRule="auto"/>
              <w:ind w:left="0" w:right="0" w:firstLine="0"/>
              <w:jc w:val="left"/>
            </w:pPr>
            <w:r>
              <w:t xml:space="preserve"> </w:t>
            </w:r>
            <w:r>
              <w:rPr>
                <w:b/>
              </w:rPr>
              <w:t xml:space="preserve">À </w:t>
            </w:r>
            <w:r w:rsidR="00D21FED">
              <w:rPr>
                <w:b/>
              </w:rPr>
              <w:t>PIOLENC</w:t>
            </w:r>
            <w:r>
              <w:rPr>
                <w:b/>
              </w:rPr>
              <w:t xml:space="preserve">,  </w:t>
            </w:r>
          </w:p>
          <w:p w14:paraId="49CA1D02" w14:textId="77777777" w:rsidR="00A8538E" w:rsidRDefault="00A6768D">
            <w:pPr>
              <w:spacing w:after="59" w:line="259" w:lineRule="auto"/>
              <w:ind w:left="0" w:right="0" w:firstLine="0"/>
              <w:jc w:val="left"/>
            </w:pPr>
            <w:r>
              <w:t xml:space="preserve"> </w:t>
            </w:r>
            <w:r>
              <w:rPr>
                <w:b/>
              </w:rPr>
              <w:t xml:space="preserve"> </w:t>
            </w:r>
          </w:p>
          <w:p w14:paraId="69C7BB2D" w14:textId="77777777" w:rsidR="00A8538E" w:rsidRDefault="00A6768D">
            <w:pPr>
              <w:spacing w:after="0" w:line="259" w:lineRule="auto"/>
              <w:ind w:left="0" w:right="0" w:firstLine="0"/>
              <w:jc w:val="left"/>
            </w:pPr>
            <w:r>
              <w:t xml:space="preserve"> </w:t>
            </w:r>
            <w:r>
              <w:rPr>
                <w:b/>
              </w:rPr>
              <w:t xml:space="preserve"> </w:t>
            </w:r>
          </w:p>
          <w:p w14:paraId="2E64AB4E" w14:textId="77777777" w:rsidR="00A8538E" w:rsidRDefault="00A6768D">
            <w:pPr>
              <w:spacing w:after="130" w:line="259" w:lineRule="auto"/>
              <w:ind w:left="0" w:right="0" w:firstLine="0"/>
              <w:jc w:val="left"/>
            </w:pPr>
            <w:r>
              <w:t xml:space="preserve"> </w:t>
            </w:r>
            <w:proofErr w:type="gramStart"/>
            <w:r>
              <w:rPr>
                <w:b/>
              </w:rPr>
              <w:t>le</w:t>
            </w:r>
            <w:proofErr w:type="gramEnd"/>
            <w:r>
              <w:rPr>
                <w:b/>
              </w:rPr>
              <w:t xml:space="preserve">, </w:t>
            </w:r>
          </w:p>
          <w:p w14:paraId="670C8FC6" w14:textId="77777777" w:rsidR="00A8538E" w:rsidRDefault="00A6768D">
            <w:pPr>
              <w:spacing w:after="62" w:line="259" w:lineRule="auto"/>
              <w:ind w:left="0" w:right="0" w:firstLine="0"/>
              <w:jc w:val="left"/>
            </w:pPr>
            <w:r>
              <w:t xml:space="preserve"> </w:t>
            </w:r>
            <w:r>
              <w:rPr>
                <w:b/>
              </w:rPr>
              <w:t xml:space="preserve"> </w:t>
            </w:r>
          </w:p>
          <w:p w14:paraId="67F480DC" w14:textId="77777777" w:rsidR="00A8538E" w:rsidRDefault="00A6768D">
            <w:pPr>
              <w:spacing w:after="22" w:line="259" w:lineRule="auto"/>
              <w:ind w:left="0" w:right="0" w:firstLine="0"/>
              <w:jc w:val="left"/>
            </w:pPr>
            <w:r>
              <w:t xml:space="preserve"> </w:t>
            </w:r>
            <w:r>
              <w:rPr>
                <w:b/>
              </w:rPr>
              <w:t xml:space="preserve"> </w:t>
            </w:r>
          </w:p>
          <w:p w14:paraId="2A006146" w14:textId="2B6FD693" w:rsidR="00A8538E" w:rsidRDefault="00B36A93" w:rsidP="00B36A93">
            <w:pPr>
              <w:tabs>
                <w:tab w:val="center" w:pos="2542"/>
              </w:tabs>
              <w:spacing w:after="120" w:line="259" w:lineRule="auto"/>
              <w:ind w:left="0" w:right="0" w:firstLine="0"/>
              <w:jc w:val="left"/>
            </w:pPr>
            <w:r>
              <w:rPr>
                <w:b/>
              </w:rPr>
              <w:t xml:space="preserve"> </w:t>
            </w:r>
            <w:r w:rsidR="00A6768D">
              <w:rPr>
                <w:b/>
              </w:rPr>
              <w:t xml:space="preserve">Pour la commune coordinatrice </w:t>
            </w:r>
          </w:p>
          <w:p w14:paraId="6BA07CBD" w14:textId="77777777" w:rsidR="00A8538E" w:rsidRDefault="00A6768D">
            <w:pPr>
              <w:spacing w:after="9" w:line="259" w:lineRule="auto"/>
              <w:ind w:left="0" w:right="0" w:firstLine="0"/>
              <w:jc w:val="left"/>
            </w:pPr>
            <w:r>
              <w:t xml:space="preserve"> </w:t>
            </w:r>
            <w:r>
              <w:tab/>
            </w:r>
            <w:r>
              <w:rPr>
                <w:b/>
              </w:rPr>
              <w:t xml:space="preserve"> </w:t>
            </w:r>
          </w:p>
          <w:p w14:paraId="06DE555A" w14:textId="77777777" w:rsidR="00A8538E" w:rsidRDefault="00A6768D">
            <w:pPr>
              <w:tabs>
                <w:tab w:val="center" w:pos="2543"/>
              </w:tabs>
              <w:spacing w:after="0" w:line="259" w:lineRule="auto"/>
              <w:ind w:left="0" w:right="0" w:firstLine="0"/>
              <w:jc w:val="left"/>
              <w:rPr>
                <w:b/>
              </w:rPr>
            </w:pPr>
            <w:r>
              <w:t xml:space="preserve"> </w:t>
            </w:r>
            <w:r>
              <w:rPr>
                <w:b/>
              </w:rPr>
              <w:t>Monsieur le Maire</w:t>
            </w:r>
            <w:r w:rsidR="0004641F">
              <w:rPr>
                <w:b/>
              </w:rPr>
              <w:t xml:space="preserve"> de PIOLENC</w:t>
            </w:r>
            <w:r>
              <w:rPr>
                <w:b/>
              </w:rPr>
              <w:t xml:space="preserve">, </w:t>
            </w:r>
          </w:p>
          <w:p w14:paraId="1A7D0662" w14:textId="77777777" w:rsidR="00D21FED" w:rsidRDefault="00D21FED">
            <w:pPr>
              <w:tabs>
                <w:tab w:val="center" w:pos="2543"/>
              </w:tabs>
              <w:spacing w:after="0" w:line="259" w:lineRule="auto"/>
              <w:ind w:left="0" w:right="0" w:firstLine="0"/>
              <w:jc w:val="left"/>
            </w:pPr>
          </w:p>
          <w:p w14:paraId="496AA947" w14:textId="7FEB200E" w:rsidR="00D21FED" w:rsidRDefault="00D21FED">
            <w:pPr>
              <w:tabs>
                <w:tab w:val="center" w:pos="2543"/>
              </w:tabs>
              <w:spacing w:after="0" w:line="259" w:lineRule="auto"/>
              <w:ind w:left="0" w:right="0" w:firstLine="0"/>
              <w:jc w:val="left"/>
            </w:pPr>
          </w:p>
          <w:p w14:paraId="1BECF42B" w14:textId="77777777" w:rsidR="00D21FED" w:rsidRDefault="00D21FED">
            <w:pPr>
              <w:tabs>
                <w:tab w:val="center" w:pos="2543"/>
              </w:tabs>
              <w:spacing w:after="0" w:line="259" w:lineRule="auto"/>
              <w:ind w:left="0" w:right="0" w:firstLine="0"/>
              <w:jc w:val="left"/>
            </w:pPr>
          </w:p>
          <w:p w14:paraId="6C5FD442" w14:textId="77777777" w:rsidR="00D21FED" w:rsidRDefault="00D21FED">
            <w:pPr>
              <w:tabs>
                <w:tab w:val="center" w:pos="2543"/>
              </w:tabs>
              <w:spacing w:after="0" w:line="259" w:lineRule="auto"/>
              <w:ind w:left="0" w:right="0" w:firstLine="0"/>
              <w:jc w:val="left"/>
            </w:pPr>
          </w:p>
        </w:tc>
        <w:tc>
          <w:tcPr>
            <w:tcW w:w="2959" w:type="dxa"/>
            <w:tcBorders>
              <w:top w:val="nil"/>
              <w:left w:val="nil"/>
              <w:bottom w:val="nil"/>
              <w:right w:val="nil"/>
            </w:tcBorders>
          </w:tcPr>
          <w:p w14:paraId="335EE27C" w14:textId="77777777" w:rsidR="00A8538E" w:rsidRDefault="00A6768D">
            <w:pPr>
              <w:spacing w:after="0" w:line="259" w:lineRule="auto"/>
              <w:ind w:left="0" w:right="0" w:firstLine="0"/>
              <w:jc w:val="left"/>
            </w:pPr>
            <w:r>
              <w:rPr>
                <w:b/>
              </w:rPr>
              <w:t xml:space="preserve"> </w:t>
            </w:r>
          </w:p>
          <w:p w14:paraId="5A238849" w14:textId="77777777" w:rsidR="00A8538E" w:rsidRDefault="00A8538E">
            <w:pPr>
              <w:spacing w:after="0" w:line="259" w:lineRule="auto"/>
              <w:ind w:left="0" w:right="0" w:firstLine="0"/>
              <w:jc w:val="left"/>
            </w:pPr>
          </w:p>
          <w:p w14:paraId="20303F2C" w14:textId="77777777" w:rsidR="00A8538E" w:rsidRDefault="00A6768D">
            <w:pPr>
              <w:spacing w:after="0" w:line="259" w:lineRule="auto"/>
              <w:ind w:left="0" w:right="0" w:firstLine="0"/>
              <w:jc w:val="left"/>
            </w:pPr>
            <w:r>
              <w:rPr>
                <w:b/>
              </w:rPr>
              <w:t xml:space="preserve"> </w:t>
            </w:r>
          </w:p>
          <w:p w14:paraId="75F44EFA" w14:textId="77777777" w:rsidR="00A8538E" w:rsidRDefault="00A8538E">
            <w:pPr>
              <w:spacing w:after="0" w:line="259" w:lineRule="auto"/>
              <w:ind w:left="1389" w:right="0" w:firstLine="0"/>
              <w:jc w:val="center"/>
            </w:pPr>
          </w:p>
          <w:p w14:paraId="3886BE6A" w14:textId="77777777" w:rsidR="00D21FED" w:rsidRDefault="00A6768D">
            <w:pPr>
              <w:spacing w:after="0" w:line="259" w:lineRule="auto"/>
              <w:ind w:left="1389" w:right="0" w:firstLine="0"/>
              <w:jc w:val="center"/>
            </w:pPr>
            <w:r>
              <w:t xml:space="preserve"> </w:t>
            </w:r>
          </w:p>
          <w:p w14:paraId="2443AA12" w14:textId="77777777" w:rsidR="00D21FED" w:rsidRPr="00D21FED" w:rsidRDefault="00D21FED" w:rsidP="00D21FED"/>
          <w:p w14:paraId="52E04BE8" w14:textId="77777777" w:rsidR="00D21FED" w:rsidRPr="00D21FED" w:rsidRDefault="00D21FED" w:rsidP="00D21FED"/>
          <w:p w14:paraId="01CCD52F" w14:textId="77777777" w:rsidR="00D21FED" w:rsidRDefault="00D21FED" w:rsidP="00D21FED"/>
          <w:p w14:paraId="2A1B0DA5" w14:textId="423E4B71" w:rsidR="00A8538E" w:rsidRPr="00D21FED" w:rsidRDefault="0004641F" w:rsidP="00D21FED">
            <w:pPr>
              <w:jc w:val="center"/>
              <w:rPr>
                <w:b/>
              </w:rPr>
            </w:pPr>
            <w:r>
              <w:rPr>
                <w:b/>
              </w:rPr>
              <w:t xml:space="preserve">                          </w:t>
            </w:r>
            <w:r w:rsidR="00B36A93">
              <w:rPr>
                <w:b/>
              </w:rPr>
              <w:t xml:space="preserve">  </w:t>
            </w:r>
            <w:bookmarkStart w:id="51" w:name="_GoBack"/>
            <w:bookmarkEnd w:id="51"/>
            <w:r>
              <w:rPr>
                <w:b/>
              </w:rPr>
              <w:t xml:space="preserve"> </w:t>
            </w:r>
            <w:r w:rsidR="00D21FED" w:rsidRPr="00D21FED">
              <w:rPr>
                <w:b/>
              </w:rPr>
              <w:t>Le Titulaire</w:t>
            </w:r>
          </w:p>
        </w:tc>
      </w:tr>
    </w:tbl>
    <w:p w14:paraId="42E1A6B7" w14:textId="77777777" w:rsidR="00A8538E" w:rsidRDefault="00A6768D">
      <w:pPr>
        <w:spacing w:after="3442" w:line="259" w:lineRule="auto"/>
        <w:ind w:left="0" w:right="0" w:firstLine="0"/>
        <w:jc w:val="left"/>
      </w:pPr>
      <w:r>
        <w:rPr>
          <w:color w:val="FF0000"/>
        </w:rPr>
        <w:t xml:space="preserve"> </w:t>
      </w:r>
    </w:p>
    <w:p w14:paraId="65C59943" w14:textId="77777777" w:rsidR="00A8538E" w:rsidRDefault="00A6768D">
      <w:pPr>
        <w:tabs>
          <w:tab w:val="center" w:pos="2541"/>
          <w:tab w:val="center" w:pos="7482"/>
        </w:tabs>
        <w:spacing w:after="22" w:line="259" w:lineRule="auto"/>
        <w:ind w:left="0" w:right="0" w:firstLine="0"/>
        <w:jc w:val="left"/>
      </w:pPr>
      <w:r>
        <w:tab/>
      </w:r>
      <w:r>
        <w:rPr>
          <w:i/>
          <w:color w:val="808080"/>
          <w:sz w:val="18"/>
        </w:rPr>
        <w:t>(</w:t>
      </w:r>
      <w:proofErr w:type="gramStart"/>
      <w:r>
        <w:rPr>
          <w:i/>
          <w:color w:val="808080"/>
          <w:sz w:val="18"/>
        </w:rPr>
        <w:t>cachet</w:t>
      </w:r>
      <w:proofErr w:type="gramEnd"/>
      <w:r>
        <w:rPr>
          <w:i/>
          <w:color w:val="808080"/>
          <w:sz w:val="18"/>
        </w:rPr>
        <w:t xml:space="preserve"> et signature) </w:t>
      </w:r>
    </w:p>
    <w:p w14:paraId="689596EC" w14:textId="77777777" w:rsidR="00A8538E" w:rsidRDefault="00A6768D">
      <w:pPr>
        <w:spacing w:after="0" w:line="259" w:lineRule="auto"/>
        <w:ind w:left="0" w:right="0" w:firstLine="0"/>
        <w:jc w:val="left"/>
      </w:pPr>
      <w:r>
        <w:rPr>
          <w:rFonts w:ascii="Times New Roman" w:eastAsia="Times New Roman" w:hAnsi="Times New Roman" w:cs="Times New Roman"/>
          <w:sz w:val="18"/>
        </w:rPr>
        <w:t xml:space="preserve"> </w:t>
      </w:r>
      <w:r>
        <w:t xml:space="preserve"> </w:t>
      </w:r>
    </w:p>
    <w:sectPr w:rsidR="00A8538E" w:rsidSect="00F80A97">
      <w:pgSz w:w="11899" w:h="16841"/>
      <w:pgMar w:top="856" w:right="705" w:bottom="6814" w:left="85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EF7E" w14:textId="77777777" w:rsidR="00527DE7" w:rsidRDefault="00527DE7">
      <w:pPr>
        <w:spacing w:after="0" w:line="240" w:lineRule="auto"/>
      </w:pPr>
      <w:r>
        <w:separator/>
      </w:r>
    </w:p>
  </w:endnote>
  <w:endnote w:type="continuationSeparator" w:id="0">
    <w:p w14:paraId="52F5735D" w14:textId="77777777" w:rsidR="00527DE7" w:rsidRDefault="0052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C23B" w14:textId="77777777" w:rsidR="005851FE" w:rsidRDefault="005851FE">
    <w:pPr>
      <w:tabs>
        <w:tab w:val="center" w:pos="5171"/>
        <w:tab w:val="right" w:pos="10342"/>
      </w:tabs>
      <w:spacing w:after="0" w:line="259" w:lineRule="auto"/>
      <w:ind w:left="0" w:right="-6"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Page </w:t>
    </w:r>
    <w:r>
      <w:fldChar w:fldCharType="begin"/>
    </w:r>
    <w:r>
      <w:instrText xml:space="preserve"> PAGE   \* MERGEFORMAT </w:instrText>
    </w:r>
    <w:r>
      <w:fldChar w:fldCharType="separate"/>
    </w:r>
    <w:r w:rsidRPr="00873CBE">
      <w:rPr>
        <w:noProof/>
        <w:sz w:val="20"/>
      </w:rPr>
      <w:t>20</w:t>
    </w:r>
    <w:r>
      <w:rPr>
        <w:sz w:val="20"/>
      </w:rPr>
      <w:fldChar w:fldCharType="end"/>
    </w:r>
    <w:r>
      <w:rPr>
        <w:sz w:val="20"/>
      </w:rPr>
      <w:t xml:space="preserve"> sur </w:t>
    </w:r>
    <w:r w:rsidR="00B36A93">
      <w:fldChar w:fldCharType="begin"/>
    </w:r>
    <w:r w:rsidR="00B36A93">
      <w:instrText xml:space="preserve"> NUMPAGES   \* MERGEFORMAT </w:instrText>
    </w:r>
    <w:r w:rsidR="00B36A93">
      <w:fldChar w:fldCharType="separate"/>
    </w:r>
    <w:r w:rsidRPr="00873CBE">
      <w:rPr>
        <w:noProof/>
        <w:sz w:val="20"/>
      </w:rPr>
      <w:t>29</w:t>
    </w:r>
    <w:r w:rsidR="00B36A93">
      <w:rPr>
        <w:noProof/>
        <w:sz w:val="20"/>
      </w:rPr>
      <w:fldChar w:fldCharType="end"/>
    </w:r>
    <w:r>
      <w:rPr>
        <w:sz w:val="20"/>
      </w:rPr>
      <w:t xml:space="preserve">  </w:t>
    </w:r>
    <w:r>
      <w:rPr>
        <w:sz w:val="20"/>
      </w:rPr>
      <w:tab/>
      <w:t xml:space="preserve">           MOE TC – Secteur 4 – </w:t>
    </w:r>
    <w:r>
      <w:rPr>
        <w:b/>
        <w:sz w:val="20"/>
      </w:rPr>
      <w:t>C.C.P.</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E1BF" w14:textId="2FF453CD" w:rsidR="005851FE" w:rsidRDefault="005851FE">
    <w:pPr>
      <w:tabs>
        <w:tab w:val="center" w:pos="5171"/>
        <w:tab w:val="right" w:pos="10342"/>
      </w:tabs>
      <w:spacing w:after="0" w:line="259" w:lineRule="auto"/>
      <w:ind w:left="0" w:right="-6" w:firstLine="0"/>
      <w:jc w:val="left"/>
    </w:pPr>
    <w:r>
      <w:rPr>
        <w:rFonts w:ascii="Times New Roman" w:eastAsia="Times New Roman" w:hAnsi="Times New Roman" w:cs="Times New Roman"/>
        <w:sz w:val="24"/>
      </w:rPr>
      <w:tab/>
    </w:r>
    <w:r>
      <w:rPr>
        <w:sz w:val="20"/>
      </w:rPr>
      <w:tab/>
    </w:r>
    <w:r>
      <w:rPr>
        <w:b/>
        <w:sz w:val="20"/>
      </w:rPr>
      <w:t>C.C.P.</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11DE" w14:textId="77777777" w:rsidR="005851FE" w:rsidRDefault="005851FE">
    <w:pPr>
      <w:tabs>
        <w:tab w:val="center" w:pos="5171"/>
        <w:tab w:val="right" w:pos="10342"/>
      </w:tabs>
      <w:spacing w:after="0" w:line="259" w:lineRule="auto"/>
      <w:ind w:left="0" w:right="-6"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sur </w:t>
    </w:r>
    <w:r w:rsidR="00B36A93">
      <w:fldChar w:fldCharType="begin"/>
    </w:r>
    <w:r w:rsidR="00B36A93">
      <w:instrText xml:space="preserve"> NUMPAGES   \* MERGEFORMAT </w:instrText>
    </w:r>
    <w:r w:rsidR="00B36A93">
      <w:fldChar w:fldCharType="separate"/>
    </w:r>
    <w:r w:rsidRPr="00C60BD6">
      <w:rPr>
        <w:noProof/>
        <w:sz w:val="20"/>
      </w:rPr>
      <w:t>29</w:t>
    </w:r>
    <w:r w:rsidR="00B36A93">
      <w:rPr>
        <w:noProof/>
        <w:sz w:val="20"/>
      </w:rPr>
      <w:fldChar w:fldCharType="end"/>
    </w:r>
    <w:r>
      <w:rPr>
        <w:sz w:val="20"/>
      </w:rPr>
      <w:t xml:space="preserve">  </w:t>
    </w:r>
    <w:r>
      <w:rPr>
        <w:sz w:val="20"/>
      </w:rPr>
      <w:tab/>
      <w:t xml:space="preserve">           MOE TC – Secteur 4 – </w:t>
    </w:r>
    <w:r>
      <w:rPr>
        <w:b/>
        <w:sz w:val="20"/>
      </w:rPr>
      <w:t>C.C.P.</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78FB" w14:textId="77777777" w:rsidR="00527DE7" w:rsidRDefault="00527DE7">
      <w:pPr>
        <w:spacing w:after="0" w:line="240" w:lineRule="auto"/>
      </w:pPr>
      <w:r>
        <w:separator/>
      </w:r>
    </w:p>
  </w:footnote>
  <w:footnote w:type="continuationSeparator" w:id="0">
    <w:p w14:paraId="512806A4" w14:textId="77777777" w:rsidR="00527DE7" w:rsidRDefault="00527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90C3" w14:textId="77777777" w:rsidR="005851FE" w:rsidRDefault="005851FE">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4C05" w14:textId="77777777" w:rsidR="005851FE" w:rsidRDefault="005851FE">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3983" w14:textId="77777777" w:rsidR="005851FE" w:rsidRDefault="005851F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07DC"/>
    <w:multiLevelType w:val="hybridMultilevel"/>
    <w:tmpl w:val="6FB4E1EE"/>
    <w:lvl w:ilvl="0" w:tplc="19FC5F9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633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2843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5A80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464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80DB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BC05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BED6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0A40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A939A8"/>
    <w:multiLevelType w:val="hybridMultilevel"/>
    <w:tmpl w:val="2F7AB55E"/>
    <w:lvl w:ilvl="0" w:tplc="45CE3BE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8A1E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DA8AF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5635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A6EB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6C8BC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7E20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C0A9F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C6854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C5408"/>
    <w:multiLevelType w:val="hybridMultilevel"/>
    <w:tmpl w:val="E83CEF72"/>
    <w:lvl w:ilvl="0" w:tplc="6FCA334C">
      <w:start w:val="1"/>
      <w:numFmt w:val="bullet"/>
      <w:lvlText w:val="-"/>
      <w:lvlJc w:val="left"/>
      <w:pPr>
        <w:ind w:left="1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8F45DF2">
      <w:start w:val="1"/>
      <w:numFmt w:val="bullet"/>
      <w:lvlText w:val="o"/>
      <w:lvlJc w:val="left"/>
      <w:pPr>
        <w:ind w:left="173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3C20F0A">
      <w:start w:val="1"/>
      <w:numFmt w:val="bullet"/>
      <w:lvlText w:val="▪"/>
      <w:lvlJc w:val="left"/>
      <w:pPr>
        <w:ind w:left="245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CCECE02">
      <w:start w:val="1"/>
      <w:numFmt w:val="bullet"/>
      <w:lvlText w:val="•"/>
      <w:lvlJc w:val="left"/>
      <w:pPr>
        <w:ind w:left="317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85C1298">
      <w:start w:val="1"/>
      <w:numFmt w:val="bullet"/>
      <w:lvlText w:val="o"/>
      <w:lvlJc w:val="left"/>
      <w:pPr>
        <w:ind w:left="38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C1E5B1A">
      <w:start w:val="1"/>
      <w:numFmt w:val="bullet"/>
      <w:lvlText w:val="▪"/>
      <w:lvlJc w:val="left"/>
      <w:pPr>
        <w:ind w:left="46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23E2B86">
      <w:start w:val="1"/>
      <w:numFmt w:val="bullet"/>
      <w:lvlText w:val="•"/>
      <w:lvlJc w:val="left"/>
      <w:pPr>
        <w:ind w:left="533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BC8BE5E">
      <w:start w:val="1"/>
      <w:numFmt w:val="bullet"/>
      <w:lvlText w:val="o"/>
      <w:lvlJc w:val="left"/>
      <w:pPr>
        <w:ind w:left="605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BB27748">
      <w:start w:val="1"/>
      <w:numFmt w:val="bullet"/>
      <w:lvlText w:val="▪"/>
      <w:lvlJc w:val="left"/>
      <w:pPr>
        <w:ind w:left="677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77720D"/>
    <w:multiLevelType w:val="hybridMultilevel"/>
    <w:tmpl w:val="428A10B2"/>
    <w:lvl w:ilvl="0" w:tplc="D7904B8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524FB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0E5E8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98165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2FA0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746E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68C2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EEF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12911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C915A7"/>
    <w:multiLevelType w:val="hybridMultilevel"/>
    <w:tmpl w:val="A34AE50C"/>
    <w:lvl w:ilvl="0" w:tplc="B2223B62">
      <w:start w:val="6"/>
      <w:numFmt w:val="lowerLetter"/>
      <w:lvlText w:val="%1)"/>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9085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BE08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0AF8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7CB9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78ED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8C4A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CECD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10DF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ED7839"/>
    <w:multiLevelType w:val="hybridMultilevel"/>
    <w:tmpl w:val="F214AEEC"/>
    <w:lvl w:ilvl="0" w:tplc="1AAA2BE8">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CDD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9235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B49F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74C3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48B6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92B8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4693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4E4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A67DE2"/>
    <w:multiLevelType w:val="hybridMultilevel"/>
    <w:tmpl w:val="4DE8493A"/>
    <w:lvl w:ilvl="0" w:tplc="90BAA35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2BAB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72F51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C47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72F98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5E89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4BC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41B7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D015B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9E6B99"/>
    <w:multiLevelType w:val="hybridMultilevel"/>
    <w:tmpl w:val="3E8C02B6"/>
    <w:lvl w:ilvl="0" w:tplc="62DAA9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7388">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84B35A">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80B3B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630DC">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6EA622">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08A788">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E07F2">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F0E72C">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560007"/>
    <w:multiLevelType w:val="hybridMultilevel"/>
    <w:tmpl w:val="808A98F6"/>
    <w:lvl w:ilvl="0" w:tplc="9D1CE17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89D3E">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A442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BE447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0A152">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E445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B4E5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0F46E">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88CA2E">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3957A1"/>
    <w:multiLevelType w:val="hybridMultilevel"/>
    <w:tmpl w:val="05EC7EEA"/>
    <w:lvl w:ilvl="0" w:tplc="47387D1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DE99E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6E1E0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B4BF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0B9E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5849F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7E27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58427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A225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7"/>
  </w:num>
  <w:num w:numId="4">
    <w:abstractNumId w:val="2"/>
  </w:num>
  <w:num w:numId="5">
    <w:abstractNumId w:val="5"/>
  </w:num>
  <w:num w:numId="6">
    <w:abstractNumId w:val="0"/>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8E"/>
    <w:rsid w:val="0004641F"/>
    <w:rsid w:val="00056842"/>
    <w:rsid w:val="000632EA"/>
    <w:rsid w:val="000D7C3E"/>
    <w:rsid w:val="000E5DC4"/>
    <w:rsid w:val="0011490D"/>
    <w:rsid w:val="001B5641"/>
    <w:rsid w:val="0027028F"/>
    <w:rsid w:val="00326AE9"/>
    <w:rsid w:val="0042015B"/>
    <w:rsid w:val="00463370"/>
    <w:rsid w:val="00527DE7"/>
    <w:rsid w:val="005851FE"/>
    <w:rsid w:val="005B6ABA"/>
    <w:rsid w:val="005D5244"/>
    <w:rsid w:val="006405BC"/>
    <w:rsid w:val="00683B56"/>
    <w:rsid w:val="006A424E"/>
    <w:rsid w:val="006D364B"/>
    <w:rsid w:val="006D3D8C"/>
    <w:rsid w:val="00736B02"/>
    <w:rsid w:val="00763101"/>
    <w:rsid w:val="00770703"/>
    <w:rsid w:val="007C26A9"/>
    <w:rsid w:val="0082081C"/>
    <w:rsid w:val="00873CBE"/>
    <w:rsid w:val="008C5732"/>
    <w:rsid w:val="00930E25"/>
    <w:rsid w:val="009635C0"/>
    <w:rsid w:val="009E48F0"/>
    <w:rsid w:val="009E723D"/>
    <w:rsid w:val="00A361A9"/>
    <w:rsid w:val="00A6768D"/>
    <w:rsid w:val="00A8538E"/>
    <w:rsid w:val="00AB59F1"/>
    <w:rsid w:val="00AF449F"/>
    <w:rsid w:val="00B36A93"/>
    <w:rsid w:val="00C60BD6"/>
    <w:rsid w:val="00D01252"/>
    <w:rsid w:val="00D21FED"/>
    <w:rsid w:val="00D70F85"/>
    <w:rsid w:val="00F0731C"/>
    <w:rsid w:val="00F30437"/>
    <w:rsid w:val="00F721E1"/>
    <w:rsid w:val="00F80A97"/>
    <w:rsid w:val="00F95BC5"/>
    <w:rsid w:val="00FB3B66"/>
    <w:rsid w:val="00FE0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06D8"/>
  <w15:docId w15:val="{4F396E83-2B77-4F15-8808-C16C2E4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8" w:hanging="10"/>
      <w:jc w:val="both"/>
    </w:pPr>
    <w:rPr>
      <w:rFonts w:ascii="Arial" w:eastAsia="Arial" w:hAnsi="Arial" w:cs="Arial"/>
      <w:color w:val="000000"/>
    </w:rPr>
  </w:style>
  <w:style w:type="paragraph" w:styleId="Titre1">
    <w:name w:val="heading 1"/>
    <w:next w:val="Normal"/>
    <w:link w:val="Titre1Car"/>
    <w:uiPriority w:val="9"/>
    <w:unhideWhenUsed/>
    <w:qFormat/>
    <w:pPr>
      <w:keepNext/>
      <w:keepLines/>
      <w:spacing w:after="11" w:line="249" w:lineRule="auto"/>
      <w:ind w:left="10" w:hanging="10"/>
      <w:outlineLvl w:val="0"/>
    </w:pPr>
    <w:rPr>
      <w:rFonts w:ascii="Arial" w:eastAsia="Arial" w:hAnsi="Arial" w:cs="Arial"/>
      <w:b/>
      <w:color w:val="000000"/>
      <w:sz w:val="26"/>
    </w:rPr>
  </w:style>
  <w:style w:type="paragraph" w:styleId="Titre2">
    <w:name w:val="heading 2"/>
    <w:next w:val="Normal"/>
    <w:link w:val="Titre2Car"/>
    <w:uiPriority w:val="9"/>
    <w:unhideWhenUsed/>
    <w:qFormat/>
    <w:pPr>
      <w:keepNext/>
      <w:keepLines/>
      <w:spacing w:after="0"/>
      <w:ind w:left="10" w:hanging="10"/>
      <w:outlineLvl w:val="1"/>
    </w:pPr>
    <w:rPr>
      <w:rFonts w:ascii="Arial" w:eastAsia="Arial" w:hAnsi="Arial" w:cs="Arial"/>
      <w:color w:val="000000"/>
      <w:sz w:val="24"/>
      <w:u w:val="single" w:color="000000"/>
    </w:rPr>
  </w:style>
  <w:style w:type="paragraph" w:styleId="Titre3">
    <w:name w:val="heading 3"/>
    <w:next w:val="Normal"/>
    <w:link w:val="Titre3Car"/>
    <w:uiPriority w:val="9"/>
    <w:unhideWhenUsed/>
    <w:qFormat/>
    <w:pPr>
      <w:keepNext/>
      <w:keepLines/>
      <w:spacing w:after="0"/>
      <w:ind w:left="10" w:hanging="10"/>
      <w:outlineLvl w:val="2"/>
    </w:pPr>
    <w:rPr>
      <w:rFonts w:ascii="Arial" w:eastAsia="Arial" w:hAnsi="Arial" w:cs="Arial"/>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i/>
      <w:color w:val="000000"/>
      <w:sz w:val="22"/>
    </w:rPr>
  </w:style>
  <w:style w:type="character" w:customStyle="1" w:styleId="Titre2Car">
    <w:name w:val="Titre 2 Car"/>
    <w:link w:val="Titre2"/>
    <w:rPr>
      <w:rFonts w:ascii="Arial" w:eastAsia="Arial" w:hAnsi="Arial" w:cs="Arial"/>
      <w:color w:val="000000"/>
      <w:sz w:val="24"/>
      <w:u w:val="single" w:color="000000"/>
    </w:rPr>
  </w:style>
  <w:style w:type="character" w:customStyle="1" w:styleId="Titre1Car">
    <w:name w:val="Titre 1 Car"/>
    <w:link w:val="Titre1"/>
    <w:rPr>
      <w:rFonts w:ascii="Arial" w:eastAsia="Arial" w:hAnsi="Arial" w:cs="Arial"/>
      <w:b/>
      <w:color w:val="000000"/>
      <w:sz w:val="26"/>
    </w:rPr>
  </w:style>
  <w:style w:type="paragraph" w:styleId="TM1">
    <w:name w:val="toc 1"/>
    <w:hidden/>
    <w:uiPriority w:val="39"/>
    <w:pPr>
      <w:spacing w:after="9" w:line="250" w:lineRule="auto"/>
      <w:ind w:left="25" w:right="25" w:hanging="10"/>
    </w:pPr>
    <w:rPr>
      <w:rFonts w:ascii="Arial" w:eastAsia="Arial" w:hAnsi="Arial" w:cs="Arial"/>
      <w:color w:val="000000"/>
      <w:sz w:val="24"/>
    </w:rPr>
  </w:style>
  <w:style w:type="paragraph" w:styleId="TM2">
    <w:name w:val="toc 2"/>
    <w:hidden/>
    <w:uiPriority w:val="39"/>
    <w:pPr>
      <w:spacing w:after="9" w:line="250" w:lineRule="auto"/>
      <w:ind w:left="265" w:right="25"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763101"/>
    <w:rPr>
      <w:sz w:val="16"/>
      <w:szCs w:val="16"/>
    </w:rPr>
  </w:style>
  <w:style w:type="paragraph" w:styleId="Commentaire">
    <w:name w:val="annotation text"/>
    <w:basedOn w:val="Normal"/>
    <w:link w:val="CommentaireCar"/>
    <w:uiPriority w:val="99"/>
    <w:semiHidden/>
    <w:unhideWhenUsed/>
    <w:rsid w:val="00763101"/>
    <w:pPr>
      <w:spacing w:line="240" w:lineRule="auto"/>
    </w:pPr>
    <w:rPr>
      <w:sz w:val="20"/>
      <w:szCs w:val="20"/>
    </w:rPr>
  </w:style>
  <w:style w:type="character" w:customStyle="1" w:styleId="CommentaireCar">
    <w:name w:val="Commentaire Car"/>
    <w:basedOn w:val="Policepardfaut"/>
    <w:link w:val="Commentaire"/>
    <w:uiPriority w:val="99"/>
    <w:semiHidden/>
    <w:rsid w:val="00763101"/>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763101"/>
    <w:rPr>
      <w:b/>
      <w:bCs/>
    </w:rPr>
  </w:style>
  <w:style w:type="character" w:customStyle="1" w:styleId="ObjetducommentaireCar">
    <w:name w:val="Objet du commentaire Car"/>
    <w:basedOn w:val="CommentaireCar"/>
    <w:link w:val="Objetducommentaire"/>
    <w:uiPriority w:val="99"/>
    <w:semiHidden/>
    <w:rsid w:val="00763101"/>
    <w:rPr>
      <w:rFonts w:ascii="Arial" w:eastAsia="Arial" w:hAnsi="Arial" w:cs="Arial"/>
      <w:b/>
      <w:bCs/>
      <w:color w:val="000000"/>
      <w:sz w:val="20"/>
      <w:szCs w:val="20"/>
    </w:rPr>
  </w:style>
  <w:style w:type="paragraph" w:styleId="Textedebulles">
    <w:name w:val="Balloon Text"/>
    <w:basedOn w:val="Normal"/>
    <w:link w:val="TextedebullesCar"/>
    <w:uiPriority w:val="99"/>
    <w:semiHidden/>
    <w:unhideWhenUsed/>
    <w:rsid w:val="007631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3101"/>
    <w:rPr>
      <w:rFonts w:ascii="Segoe UI" w:eastAsia="Arial" w:hAnsi="Segoe UI" w:cs="Segoe UI"/>
      <w:color w:val="000000"/>
      <w:sz w:val="18"/>
      <w:szCs w:val="18"/>
    </w:rPr>
  </w:style>
  <w:style w:type="paragraph" w:customStyle="1" w:styleId="Normal1">
    <w:name w:val="Normal1"/>
    <w:basedOn w:val="Normal"/>
    <w:link w:val="Normal1Car"/>
    <w:rsid w:val="0011490D"/>
    <w:pPr>
      <w:keepLines/>
      <w:tabs>
        <w:tab w:val="left" w:pos="284"/>
        <w:tab w:val="left" w:pos="567"/>
        <w:tab w:val="left" w:pos="851"/>
      </w:tabs>
      <w:spacing w:after="0" w:line="240" w:lineRule="auto"/>
      <w:ind w:left="0" w:right="0" w:firstLine="284"/>
    </w:pPr>
    <w:rPr>
      <w:rFonts w:ascii="Times New Roman" w:eastAsia="Times New Roman" w:hAnsi="Times New Roman" w:cs="Times New Roman"/>
      <w:color w:val="auto"/>
      <w:szCs w:val="20"/>
    </w:rPr>
  </w:style>
  <w:style w:type="character" w:customStyle="1" w:styleId="Normal1Car">
    <w:name w:val="Normal1 Car"/>
    <w:link w:val="Normal1"/>
    <w:locked/>
    <w:rsid w:val="0011490D"/>
    <w:rPr>
      <w:rFonts w:ascii="Times New Roman" w:eastAsia="Times New Roman" w:hAnsi="Times New Roman" w:cs="Times New Roman"/>
      <w:szCs w:val="20"/>
    </w:rPr>
  </w:style>
  <w:style w:type="paragraph" w:customStyle="1" w:styleId="REFERENCE">
    <w:name w:val="REFERENCE"/>
    <w:basedOn w:val="Normal"/>
    <w:rsid w:val="00770703"/>
    <w:pPr>
      <w:spacing w:after="960" w:line="240" w:lineRule="auto"/>
      <w:ind w:left="0" w:right="0" w:firstLine="0"/>
      <w:jc w:val="left"/>
    </w:pPr>
    <w:rPr>
      <w:rFonts w:ascii="Times New Roman" w:eastAsia="Times New Roman" w:hAnsi="Times New Roman" w:cs="Times New Roman"/>
      <w:b/>
      <w:bCs/>
      <w:color w:val="auto"/>
      <w:sz w:val="24"/>
      <w:szCs w:val="24"/>
    </w:rPr>
  </w:style>
  <w:style w:type="paragraph" w:customStyle="1" w:styleId="Normal2">
    <w:name w:val="Normal2"/>
    <w:basedOn w:val="Normal"/>
    <w:link w:val="Normal2Car"/>
    <w:rsid w:val="00770703"/>
    <w:pPr>
      <w:keepLines/>
      <w:tabs>
        <w:tab w:val="left" w:pos="567"/>
        <w:tab w:val="left" w:pos="851"/>
        <w:tab w:val="left" w:pos="1134"/>
      </w:tabs>
      <w:spacing w:after="0" w:line="240" w:lineRule="auto"/>
      <w:ind w:left="284" w:right="0" w:firstLine="284"/>
    </w:pPr>
    <w:rPr>
      <w:rFonts w:ascii="Times New Roman" w:eastAsia="Times New Roman" w:hAnsi="Times New Roman" w:cs="Times New Roman"/>
      <w:color w:val="auto"/>
      <w:szCs w:val="20"/>
    </w:rPr>
  </w:style>
  <w:style w:type="character" w:customStyle="1" w:styleId="Normal2Car">
    <w:name w:val="Normal2 Car"/>
    <w:link w:val="Normal2"/>
    <w:rsid w:val="00770703"/>
    <w:rPr>
      <w:rFonts w:ascii="Times New Roman" w:eastAsia="Times New Roman" w:hAnsi="Times New Roman" w:cs="Times New Roman"/>
      <w:szCs w:val="20"/>
    </w:rPr>
  </w:style>
  <w:style w:type="paragraph" w:customStyle="1" w:styleId="RedaliaNormalCarCar">
    <w:name w:val="Redalia : Normal Car Car"/>
    <w:basedOn w:val="Normal"/>
    <w:link w:val="RedaliaNormalCarCarCar"/>
    <w:rsid w:val="007C26A9"/>
    <w:pPr>
      <w:widowControl w:val="0"/>
      <w:spacing w:after="0" w:line="240" w:lineRule="auto"/>
      <w:ind w:left="0" w:right="0" w:firstLine="0"/>
    </w:pPr>
    <w:rPr>
      <w:rFonts w:ascii="Verdana" w:eastAsia="Times New Roman" w:hAnsi="Verdana" w:cs="Times New Roman"/>
      <w:color w:val="auto"/>
      <w:szCs w:val="24"/>
    </w:rPr>
  </w:style>
  <w:style w:type="paragraph" w:customStyle="1" w:styleId="RdaliaRetraitniveau1">
    <w:name w:val="Rédalia : Retrait niveau 1"/>
    <w:basedOn w:val="Normal"/>
    <w:rsid w:val="007C26A9"/>
    <w:pPr>
      <w:widowControl w:val="0"/>
      <w:tabs>
        <w:tab w:val="num" w:pos="360"/>
      </w:tabs>
      <w:spacing w:after="0" w:line="240" w:lineRule="auto"/>
      <w:ind w:left="360" w:right="0" w:hanging="360"/>
    </w:pPr>
    <w:rPr>
      <w:rFonts w:ascii="Verdana" w:eastAsia="Times New Roman" w:hAnsi="Verdana" w:cs="Times New Roman"/>
      <w:color w:val="auto"/>
    </w:rPr>
  </w:style>
  <w:style w:type="character" w:customStyle="1" w:styleId="RedaliaNormalCarCarCar">
    <w:name w:val="Redalia : Normal Car Car Car"/>
    <w:link w:val="RedaliaNormalCarCar"/>
    <w:rsid w:val="007C26A9"/>
    <w:rPr>
      <w:rFonts w:ascii="Verdana" w:eastAsia="Times New Roman" w:hAnsi="Verdana" w:cs="Times New Roman"/>
      <w:szCs w:val="24"/>
    </w:rPr>
  </w:style>
  <w:style w:type="character" w:styleId="Lienhypertexte">
    <w:name w:val="Hyperlink"/>
    <w:basedOn w:val="Policepardfaut"/>
    <w:uiPriority w:val="99"/>
    <w:unhideWhenUsed/>
    <w:rsid w:val="006D3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36</Pages>
  <Words>9211</Words>
  <Characters>50666</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Cahier des Clauses Particulières</vt:lpstr>
    </vt:vector>
  </TitlesOfParts>
  <Company/>
  <LinksUpToDate>false</LinksUpToDate>
  <CharactersWithSpaces>59758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Particulières</dc:title>
  <dc:subject/>
  <dc:creator>Groupement de commande</dc:creator>
  <cp:keywords/>
  <cp:lastModifiedBy>Isabelle RIMET</cp:lastModifiedBy>
  <cp:revision>30</cp:revision>
  <cp:lastPrinted>2018-04-24T09:24:00Z</cp:lastPrinted>
  <dcterms:created xsi:type="dcterms:W3CDTF">2018-04-03T14:49:00Z</dcterms:created>
  <dcterms:modified xsi:type="dcterms:W3CDTF">2018-05-14T08:27:00Z</dcterms:modified>
</cp:coreProperties>
</file>